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D1FD66">
      <w:pPr>
        <w:pageBreakBefore w:val="0"/>
        <w:pBdr>
          <w:bottom w:val="dotDotDash" w:color="auto" w:sz="24" w:space="10"/>
        </w:pBdr>
        <w:kinsoku/>
        <w:wordWrap/>
        <w:overflowPunct/>
        <w:topLinePunct w:val="0"/>
        <w:autoSpaceDE/>
        <w:autoSpaceDN/>
        <w:bidi w:val="0"/>
        <w:adjustRightInd/>
        <w:snapToGrid w:val="0"/>
        <w:spacing w:before="312" w:beforeLines="100" w:after="312" w:afterLines="100" w:line="360" w:lineRule="auto"/>
        <w:ind w:firstLine="0" w:firstLineChars="0"/>
        <w:rPr>
          <w:rFonts w:ascii="Times New Roman" w:hAnsi="Times New Roman" w:eastAsia="黑体" w:cs="Times New Roman"/>
          <w:b/>
          <w:color w:val="auto"/>
          <w:sz w:val="30"/>
          <w:szCs w:val="30"/>
        </w:rPr>
      </w:pPr>
    </w:p>
    <w:p w14:paraId="799C5A24">
      <w:pPr>
        <w:pageBreakBefore w:val="0"/>
        <w:pBdr>
          <w:bottom w:val="dotDotDash" w:color="auto" w:sz="24" w:space="10"/>
        </w:pBdr>
        <w:kinsoku/>
        <w:wordWrap/>
        <w:overflowPunct/>
        <w:topLinePunct w:val="0"/>
        <w:autoSpaceDE/>
        <w:autoSpaceDN/>
        <w:bidi w:val="0"/>
        <w:adjustRightInd/>
        <w:snapToGrid w:val="0"/>
        <w:spacing w:before="312" w:beforeLines="100" w:after="312" w:afterLines="100" w:line="360" w:lineRule="auto"/>
        <w:ind w:firstLine="0" w:firstLineChars="0"/>
        <w:jc w:val="center"/>
        <w:rPr>
          <w:rFonts w:ascii="Times New Roman" w:hAnsi="Times New Roman" w:eastAsia="黑体" w:cs="Times New Roman"/>
          <w:b/>
          <w:color w:val="auto"/>
          <w:sz w:val="30"/>
          <w:szCs w:val="30"/>
        </w:rPr>
      </w:pPr>
    </w:p>
    <w:p w14:paraId="042233F8">
      <w:pPr>
        <w:widowControl/>
        <w:pBdr>
          <w:bottom w:val="dotDotDash" w:color="auto" w:sz="24" w:space="10"/>
        </w:pBdr>
        <w:adjustRightInd/>
        <w:spacing w:before="156" w:beforeLines="50" w:after="312" w:afterLines="100" w:line="360" w:lineRule="auto"/>
        <w:ind w:firstLine="0" w:firstLineChars="0"/>
        <w:jc w:val="center"/>
        <w:textAlignment w:val="center"/>
        <w:rPr>
          <w:rFonts w:ascii="Times New Roman" w:hAnsi="Times New Roman" w:eastAsia="黑体" w:cs="Times New Roman"/>
          <w:b/>
          <w:color w:val="auto"/>
          <w:sz w:val="44"/>
          <w:szCs w:val="22"/>
        </w:rPr>
      </w:pPr>
      <w:r>
        <w:rPr>
          <w:rFonts w:hint="default" w:ascii="Times New Roman" w:hAnsi="Times New Roman" w:eastAsia="黑体" w:cs="Times New Roman"/>
          <w:b/>
          <w:color w:val="auto"/>
          <w:sz w:val="44"/>
          <w:szCs w:val="22"/>
          <w:lang w:val="en-US" w:eastAsia="zh-CN"/>
        </w:rPr>
        <w:t>伊宁</w:t>
      </w:r>
      <w:r>
        <w:rPr>
          <w:rFonts w:hint="default" w:ascii="Times New Roman" w:hAnsi="Times New Roman" w:eastAsia="黑体" w:cs="Times New Roman"/>
          <w:b/>
          <w:color w:val="auto"/>
          <w:sz w:val="44"/>
          <w:szCs w:val="22"/>
        </w:rPr>
        <w:t>县民政局</w:t>
      </w:r>
    </w:p>
    <w:p w14:paraId="6F65A26B">
      <w:pPr>
        <w:widowControl/>
        <w:pBdr>
          <w:bottom w:val="dotDotDash" w:color="auto" w:sz="24" w:space="10"/>
        </w:pBdr>
        <w:adjustRightInd/>
        <w:spacing w:before="156" w:beforeLines="50" w:after="312" w:afterLines="100" w:line="360" w:lineRule="auto"/>
        <w:ind w:firstLine="0" w:firstLineChars="0"/>
        <w:jc w:val="center"/>
        <w:textAlignment w:val="center"/>
        <w:rPr>
          <w:rFonts w:ascii="Times New Roman" w:hAnsi="Times New Roman" w:eastAsia="黑体" w:cs="Times New Roman"/>
          <w:b/>
          <w:color w:val="auto"/>
          <w:sz w:val="44"/>
          <w:szCs w:val="22"/>
        </w:rPr>
      </w:pPr>
      <w:r>
        <w:rPr>
          <w:rFonts w:hint="default" w:ascii="Times New Roman" w:hAnsi="Times New Roman" w:eastAsia="黑体" w:cs="Times New Roman"/>
          <w:b/>
          <w:color w:val="auto"/>
          <w:sz w:val="44"/>
          <w:szCs w:val="22"/>
        </w:rPr>
        <w:t>“福彩圆梦</w:t>
      </w:r>
      <w:r>
        <w:rPr>
          <w:rFonts w:hint="default" w:ascii="Times New Roman" w:hAnsi="Times New Roman" w:eastAsia="黑体" w:cs="Times New Roman"/>
          <w:b/>
          <w:color w:val="auto"/>
          <w:sz w:val="44"/>
          <w:szCs w:val="22"/>
          <w:lang w:val="en-US" w:eastAsia="zh-CN"/>
        </w:rPr>
        <w:t xml:space="preserve"> </w:t>
      </w:r>
      <w:r>
        <w:rPr>
          <w:rFonts w:hint="default" w:ascii="Times New Roman" w:hAnsi="Times New Roman" w:eastAsia="黑体" w:cs="Times New Roman"/>
          <w:b/>
          <w:color w:val="auto"/>
          <w:sz w:val="44"/>
          <w:szCs w:val="22"/>
        </w:rPr>
        <w:t>孤儿助学工程”项目</w:t>
      </w:r>
    </w:p>
    <w:p w14:paraId="46AF5042">
      <w:pPr>
        <w:pageBreakBefore w:val="0"/>
        <w:kinsoku/>
        <w:wordWrap/>
        <w:overflowPunct/>
        <w:topLinePunct w:val="0"/>
        <w:autoSpaceDE/>
        <w:autoSpaceDN/>
        <w:bidi w:val="0"/>
        <w:adjustRightInd/>
        <w:snapToGrid w:val="0"/>
        <w:spacing w:line="360" w:lineRule="auto"/>
        <w:ind w:firstLine="0" w:firstLineChars="0"/>
        <w:jc w:val="center"/>
        <w:rPr>
          <w:rFonts w:ascii="Times New Roman" w:hAnsi="Times New Roman" w:eastAsia="黑体" w:cs="Times New Roman"/>
          <w:color w:val="auto"/>
          <w:sz w:val="44"/>
          <w:szCs w:val="44"/>
        </w:rPr>
      </w:pPr>
      <w:r>
        <w:rPr>
          <w:rFonts w:ascii="Times New Roman" w:hAnsi="Times New Roman" w:eastAsia="黑体" w:cs="Times New Roman"/>
          <w:color w:val="auto"/>
          <w:spacing w:val="23"/>
          <w:kern w:val="0"/>
          <w:sz w:val="44"/>
          <w:szCs w:val="44"/>
          <w:fitText w:val="2872" w:id="1924366299"/>
        </w:rPr>
        <w:t>绩效评价报</w:t>
      </w:r>
      <w:r>
        <w:rPr>
          <w:rFonts w:ascii="Times New Roman" w:hAnsi="Times New Roman" w:eastAsia="黑体" w:cs="Times New Roman"/>
          <w:color w:val="auto"/>
          <w:spacing w:val="1"/>
          <w:kern w:val="0"/>
          <w:sz w:val="44"/>
          <w:szCs w:val="44"/>
          <w:fitText w:val="2872" w:id="1924366299"/>
        </w:rPr>
        <w:t>告</w:t>
      </w:r>
    </w:p>
    <w:p w14:paraId="4A52E855">
      <w:pPr>
        <w:widowControl/>
        <w:adjustRightInd/>
        <w:snapToGrid/>
        <w:spacing w:line="360" w:lineRule="auto"/>
        <w:ind w:firstLine="0" w:firstLineChars="0"/>
        <w:jc w:val="center"/>
        <w:rPr>
          <w:rFonts w:hint="eastAsia" w:ascii="黑体" w:hAnsi="黑体" w:eastAsia="黑体" w:cs="黑体"/>
          <w:color w:val="auto"/>
        </w:rPr>
      </w:pPr>
      <w:r>
        <w:rPr>
          <w:rFonts w:hint="eastAsia" w:ascii="黑体" w:hAnsi="黑体" w:eastAsia="黑体" w:cs="黑体"/>
          <w:color w:val="auto"/>
        </w:rPr>
        <w:t>驰天会咨字</w:t>
      </w:r>
      <w:r>
        <w:rPr>
          <w:rFonts w:hint="eastAsia" w:ascii="黑体" w:hAnsi="黑体" w:eastAsia="黑体" w:cs="黑体"/>
          <w:color w:val="auto"/>
          <w:lang w:val="en-US" w:eastAsia="zh-CN"/>
        </w:rPr>
        <w:t>[</w:t>
      </w:r>
      <w:r>
        <w:rPr>
          <w:rFonts w:hint="eastAsia" w:ascii="黑体" w:hAnsi="黑体" w:eastAsia="黑体" w:cs="黑体"/>
          <w:color w:val="auto"/>
          <w:lang w:eastAsia="zh-CN"/>
        </w:rPr>
        <w:t>2025</w:t>
      </w:r>
      <w:r>
        <w:rPr>
          <w:rFonts w:hint="eastAsia" w:ascii="黑体" w:hAnsi="黑体" w:eastAsia="黑体" w:cs="黑体"/>
          <w:color w:val="auto"/>
          <w:lang w:val="en-US" w:eastAsia="zh-CN"/>
        </w:rPr>
        <w:t>]1-0129</w:t>
      </w:r>
      <w:r>
        <w:rPr>
          <w:rFonts w:hint="eastAsia" w:ascii="黑体" w:hAnsi="黑体" w:eastAsia="黑体" w:cs="黑体"/>
          <w:color w:val="auto"/>
        </w:rPr>
        <w:t>号</w:t>
      </w:r>
    </w:p>
    <w:p w14:paraId="2BDF1CB1">
      <w:pPr>
        <w:pageBreakBefore w:val="0"/>
        <w:kinsoku/>
        <w:wordWrap/>
        <w:overflowPunct/>
        <w:topLinePunct w:val="0"/>
        <w:autoSpaceDE/>
        <w:autoSpaceDN/>
        <w:bidi w:val="0"/>
        <w:adjustRightInd/>
        <w:snapToGrid w:val="0"/>
        <w:spacing w:line="360" w:lineRule="auto"/>
        <w:ind w:firstLine="0" w:firstLineChars="0"/>
        <w:jc w:val="center"/>
        <w:rPr>
          <w:rFonts w:ascii="Times New Roman" w:hAnsi="Times New Roman" w:cs="Times New Roman"/>
          <w:b/>
          <w:color w:val="auto"/>
          <w:sz w:val="32"/>
          <w:szCs w:val="22"/>
        </w:rPr>
      </w:pPr>
    </w:p>
    <w:p w14:paraId="1342CCB0">
      <w:pPr>
        <w:pStyle w:val="2"/>
        <w:rPr>
          <w:rFonts w:ascii="Times New Roman" w:hAnsi="Times New Roman" w:cs="Times New Roman"/>
          <w:color w:val="auto"/>
        </w:rPr>
      </w:pPr>
    </w:p>
    <w:p w14:paraId="7DEF80D4">
      <w:pPr>
        <w:pageBreakBefore w:val="0"/>
        <w:kinsoku/>
        <w:wordWrap/>
        <w:overflowPunct/>
        <w:topLinePunct w:val="0"/>
        <w:autoSpaceDE/>
        <w:autoSpaceDN/>
        <w:bidi w:val="0"/>
        <w:adjustRightInd/>
        <w:snapToGrid w:val="0"/>
        <w:spacing w:line="360" w:lineRule="auto"/>
        <w:ind w:firstLine="0" w:firstLineChars="0"/>
        <w:jc w:val="center"/>
        <w:rPr>
          <w:rFonts w:ascii="Times New Roman" w:hAnsi="Times New Roman" w:cs="Times New Roman"/>
          <w:b/>
          <w:color w:val="auto"/>
          <w:sz w:val="32"/>
          <w:szCs w:val="22"/>
        </w:rPr>
      </w:pPr>
    </w:p>
    <w:p w14:paraId="6CDDF738">
      <w:pPr>
        <w:pageBreakBefore w:val="0"/>
        <w:kinsoku/>
        <w:wordWrap/>
        <w:overflowPunct/>
        <w:topLinePunct w:val="0"/>
        <w:autoSpaceDE/>
        <w:autoSpaceDN/>
        <w:bidi w:val="0"/>
        <w:adjustRightInd/>
        <w:snapToGrid w:val="0"/>
        <w:spacing w:line="360" w:lineRule="auto"/>
        <w:ind w:firstLine="0" w:firstLineChars="0"/>
        <w:jc w:val="both"/>
        <w:rPr>
          <w:rFonts w:ascii="Times New Roman" w:hAnsi="Times New Roman" w:cs="Times New Roman"/>
          <w:b/>
          <w:color w:val="auto"/>
          <w:sz w:val="32"/>
          <w:szCs w:val="22"/>
        </w:rPr>
      </w:pPr>
    </w:p>
    <w:p w14:paraId="6F246074">
      <w:pPr>
        <w:pageBreakBefore w:val="0"/>
        <w:kinsoku/>
        <w:wordWrap/>
        <w:overflowPunct/>
        <w:topLinePunct w:val="0"/>
        <w:autoSpaceDE/>
        <w:autoSpaceDN/>
        <w:bidi w:val="0"/>
        <w:adjustRightInd/>
        <w:snapToGrid w:val="0"/>
        <w:spacing w:line="360" w:lineRule="auto"/>
        <w:ind w:firstLine="0" w:firstLineChars="0"/>
        <w:jc w:val="center"/>
        <w:rPr>
          <w:rFonts w:ascii="Times New Roman" w:hAnsi="Times New Roman" w:cs="Times New Roman"/>
          <w:b/>
          <w:color w:val="auto"/>
          <w:sz w:val="32"/>
          <w:szCs w:val="22"/>
        </w:rPr>
      </w:pPr>
    </w:p>
    <w:p w14:paraId="0A28AE8B">
      <w:pPr>
        <w:pageBreakBefore w:val="0"/>
        <w:kinsoku/>
        <w:wordWrap/>
        <w:overflowPunct/>
        <w:topLinePunct w:val="0"/>
        <w:autoSpaceDE/>
        <w:autoSpaceDN/>
        <w:bidi w:val="0"/>
        <w:adjustRightInd/>
        <w:snapToGrid w:val="0"/>
        <w:spacing w:line="360" w:lineRule="auto"/>
        <w:ind w:firstLine="0" w:firstLineChars="0"/>
        <w:jc w:val="center"/>
        <w:rPr>
          <w:rFonts w:ascii="Times New Roman" w:hAnsi="Times New Roman" w:cs="Times New Roman"/>
          <w:b/>
          <w:color w:val="auto"/>
          <w:sz w:val="32"/>
          <w:szCs w:val="22"/>
        </w:rPr>
      </w:pPr>
    </w:p>
    <w:p w14:paraId="34E93FB9">
      <w:pPr>
        <w:pageBreakBefore w:val="0"/>
        <w:kinsoku/>
        <w:wordWrap/>
        <w:overflowPunct/>
        <w:topLinePunct w:val="0"/>
        <w:autoSpaceDE/>
        <w:autoSpaceDN/>
        <w:bidi w:val="0"/>
        <w:adjustRightInd/>
        <w:snapToGrid w:val="0"/>
        <w:spacing w:line="360" w:lineRule="auto"/>
        <w:ind w:firstLine="0" w:firstLineChars="0"/>
        <w:rPr>
          <w:rFonts w:ascii="Times New Roman" w:hAnsi="Times New Roman" w:cs="Times New Roman"/>
          <w:b/>
          <w:color w:val="auto"/>
          <w:sz w:val="32"/>
          <w:szCs w:val="22"/>
        </w:rPr>
      </w:pPr>
    </w:p>
    <w:p w14:paraId="73060623">
      <w:pPr>
        <w:pStyle w:val="2"/>
        <w:pageBreakBefore w:val="0"/>
        <w:kinsoku/>
        <w:wordWrap/>
        <w:overflowPunct/>
        <w:topLinePunct w:val="0"/>
        <w:autoSpaceDE/>
        <w:autoSpaceDN/>
        <w:bidi w:val="0"/>
        <w:snapToGrid w:val="0"/>
        <w:spacing w:line="360" w:lineRule="auto"/>
        <w:ind w:firstLine="643"/>
        <w:rPr>
          <w:rFonts w:ascii="Times New Roman" w:hAnsi="Times New Roman" w:cs="Times New Roman"/>
          <w:b/>
          <w:color w:val="auto"/>
          <w:sz w:val="32"/>
          <w:szCs w:val="22"/>
        </w:rPr>
      </w:pPr>
    </w:p>
    <w:p w14:paraId="7227AFBE">
      <w:pPr>
        <w:pStyle w:val="3"/>
        <w:pageBreakBefore w:val="0"/>
        <w:kinsoku/>
        <w:wordWrap/>
        <w:overflowPunct/>
        <w:topLinePunct w:val="0"/>
        <w:autoSpaceDE/>
        <w:autoSpaceDN/>
        <w:bidi w:val="0"/>
        <w:snapToGrid w:val="0"/>
        <w:spacing w:line="360" w:lineRule="auto"/>
        <w:ind w:firstLine="0" w:firstLineChars="0"/>
        <w:rPr>
          <w:rFonts w:ascii="Times New Roman" w:hAnsi="Times New Roman" w:cs="Times New Roman"/>
          <w:color w:val="auto"/>
        </w:rPr>
      </w:pPr>
    </w:p>
    <w:p w14:paraId="215C2F70">
      <w:pPr>
        <w:pStyle w:val="3"/>
        <w:pageBreakBefore w:val="0"/>
        <w:kinsoku/>
        <w:wordWrap/>
        <w:overflowPunct/>
        <w:topLinePunct w:val="0"/>
        <w:autoSpaceDE/>
        <w:autoSpaceDN/>
        <w:bidi w:val="0"/>
        <w:snapToGrid w:val="0"/>
        <w:spacing w:line="360" w:lineRule="auto"/>
        <w:ind w:firstLine="420"/>
        <w:rPr>
          <w:rFonts w:ascii="Times New Roman" w:hAnsi="Times New Roman" w:cs="Times New Roman"/>
          <w:color w:val="auto"/>
        </w:rPr>
      </w:pPr>
    </w:p>
    <w:p w14:paraId="1EC68202">
      <w:pPr>
        <w:pageBreakBefore w:val="0"/>
        <w:kinsoku/>
        <w:wordWrap/>
        <w:overflowPunct/>
        <w:topLinePunct w:val="0"/>
        <w:autoSpaceDE/>
        <w:autoSpaceDN/>
        <w:bidi w:val="0"/>
        <w:adjustRightInd/>
        <w:snapToGrid w:val="0"/>
        <w:spacing w:line="360" w:lineRule="auto"/>
        <w:ind w:firstLine="0" w:firstLineChars="0"/>
        <w:jc w:val="center"/>
        <w:rPr>
          <w:rFonts w:ascii="Times New Roman" w:hAnsi="Times New Roman" w:cs="Times New Roman"/>
          <w:b/>
          <w:color w:val="auto"/>
          <w:sz w:val="32"/>
          <w:szCs w:val="22"/>
        </w:rPr>
      </w:pPr>
      <w:r>
        <w:rPr>
          <w:rFonts w:ascii="Times New Roman" w:hAnsi="Times New Roman" w:cs="Times New Roman"/>
          <w:b/>
          <w:color w:val="auto"/>
          <w:sz w:val="32"/>
          <w:szCs w:val="22"/>
        </w:rPr>
        <w:t>新疆驰远天合有限责任会计师事务所</w:t>
      </w:r>
    </w:p>
    <w:p w14:paraId="517D1E4B">
      <w:pPr>
        <w:pageBreakBefore w:val="0"/>
        <w:kinsoku/>
        <w:wordWrap/>
        <w:overflowPunct/>
        <w:topLinePunct w:val="0"/>
        <w:autoSpaceDE/>
        <w:autoSpaceDN/>
        <w:bidi w:val="0"/>
        <w:adjustRightInd/>
        <w:snapToGrid w:val="0"/>
        <w:spacing w:line="360" w:lineRule="auto"/>
        <w:ind w:firstLine="0" w:firstLineChars="0"/>
        <w:jc w:val="center"/>
        <w:rPr>
          <w:rFonts w:ascii="Times New Roman" w:hAnsi="Times New Roman" w:eastAsia="等线" w:cs="Times New Roman"/>
          <w:b/>
          <w:color w:val="auto"/>
          <w:sz w:val="28"/>
          <w:szCs w:val="28"/>
        </w:rPr>
      </w:pPr>
      <w:r>
        <w:rPr>
          <w:rFonts w:ascii="Times New Roman" w:hAnsi="Times New Roman" w:eastAsia="等线" w:cs="Times New Roman"/>
          <w:b/>
          <w:color w:val="auto"/>
          <w:sz w:val="28"/>
          <w:szCs w:val="28"/>
        </w:rPr>
        <w:t>XIN JIANG CHI YUAN TIAN HE</w:t>
      </w:r>
    </w:p>
    <w:p w14:paraId="633CE8E1">
      <w:pPr>
        <w:pageBreakBefore w:val="0"/>
        <w:kinsoku/>
        <w:wordWrap/>
        <w:overflowPunct/>
        <w:topLinePunct w:val="0"/>
        <w:autoSpaceDE/>
        <w:autoSpaceDN/>
        <w:bidi w:val="0"/>
        <w:adjustRightInd/>
        <w:snapToGrid w:val="0"/>
        <w:spacing w:line="360" w:lineRule="auto"/>
        <w:ind w:firstLine="0" w:firstLineChars="0"/>
        <w:jc w:val="center"/>
        <w:rPr>
          <w:rFonts w:ascii="Times New Roman" w:hAnsi="Times New Roman" w:eastAsia="等线" w:cs="Times New Roman"/>
          <w:b/>
          <w:color w:val="auto"/>
        </w:rPr>
      </w:pPr>
      <w:r>
        <w:rPr>
          <w:rFonts w:ascii="Times New Roman" w:hAnsi="Times New Roman" w:eastAsia="等线" w:cs="Times New Roman"/>
          <w:b/>
          <w:color w:val="auto"/>
        </w:rPr>
        <w:t>Certified Public Accountants Co.,Ltd.</w:t>
      </w:r>
    </w:p>
    <w:p w14:paraId="11CAA934">
      <w:pPr>
        <w:pageBreakBefore w:val="0"/>
        <w:kinsoku/>
        <w:wordWrap/>
        <w:overflowPunct/>
        <w:topLinePunct w:val="0"/>
        <w:autoSpaceDE/>
        <w:autoSpaceDN/>
        <w:bidi w:val="0"/>
        <w:snapToGrid w:val="0"/>
        <w:spacing w:line="360" w:lineRule="auto"/>
        <w:ind w:firstLine="0" w:firstLineChars="0"/>
        <w:rPr>
          <w:rFonts w:ascii="Times New Roman" w:hAnsi="Times New Roman" w:eastAsia="黑体" w:cs="Times New Roman"/>
          <w:bCs/>
          <w:color w:val="auto"/>
          <w:sz w:val="24"/>
          <w:szCs w:val="24"/>
        </w:rPr>
      </w:pPr>
    </w:p>
    <w:p w14:paraId="7B1C134F">
      <w:pPr>
        <w:pageBreakBefore w:val="0"/>
        <w:kinsoku/>
        <w:wordWrap/>
        <w:overflowPunct/>
        <w:topLinePunct w:val="0"/>
        <w:autoSpaceDE/>
        <w:autoSpaceDN/>
        <w:bidi w:val="0"/>
        <w:snapToGrid w:val="0"/>
        <w:spacing w:line="360" w:lineRule="auto"/>
        <w:ind w:firstLine="0" w:firstLineChars="0"/>
        <w:rPr>
          <w:rFonts w:ascii="Times New Roman" w:hAnsi="Times New Roman" w:eastAsia="黑体" w:cs="Times New Roman"/>
          <w:bCs/>
          <w:color w:val="auto"/>
          <w:sz w:val="24"/>
          <w:szCs w:val="24"/>
        </w:rPr>
        <w:sectPr>
          <w:headerReference r:id="rId7" w:type="first"/>
          <w:footerReference r:id="rId10" w:type="first"/>
          <w:headerReference r:id="rId5" w:type="default"/>
          <w:footerReference r:id="rId8" w:type="default"/>
          <w:headerReference r:id="rId6" w:type="even"/>
          <w:footerReference r:id="rId9" w:type="even"/>
          <w:pgSz w:w="11906" w:h="16838"/>
          <w:pgMar w:top="1440" w:right="1797" w:bottom="1440" w:left="1797" w:header="851" w:footer="992" w:gutter="0"/>
          <w:pgBorders>
            <w:top w:val="none" w:sz="0" w:space="0"/>
            <w:left w:val="none" w:sz="0" w:space="0"/>
            <w:bottom w:val="none" w:sz="0" w:space="0"/>
            <w:right w:val="none" w:sz="0" w:space="0"/>
          </w:pgBorders>
          <w:pgNumType w:fmt="decimal" w:start="1"/>
          <w:cols w:space="720" w:num="1"/>
          <w:rtlGutter w:val="0"/>
          <w:docGrid w:type="lines" w:linePitch="312" w:charSpace="0"/>
        </w:sectPr>
      </w:pPr>
    </w:p>
    <w:p w14:paraId="4DE5AABC">
      <w:pPr>
        <w:pStyle w:val="2"/>
      </w:pPr>
    </w:p>
    <w:p w14:paraId="546006CB">
      <w:pPr>
        <w:pageBreakBefore w:val="0"/>
        <w:kinsoku/>
        <w:wordWrap/>
        <w:overflowPunct/>
        <w:topLinePunct w:val="0"/>
        <w:autoSpaceDE/>
        <w:autoSpaceDN/>
        <w:bidi w:val="0"/>
        <w:snapToGrid w:val="0"/>
        <w:spacing w:line="360" w:lineRule="auto"/>
        <w:ind w:firstLine="0" w:firstLineChars="0"/>
        <w:rPr>
          <w:rFonts w:hint="eastAsia" w:ascii="黑体" w:hAnsi="黑体" w:eastAsia="黑体" w:cs="黑体"/>
          <w:bCs/>
          <w:color w:val="auto"/>
          <w:sz w:val="24"/>
          <w:szCs w:val="24"/>
          <w:lang w:val="en-US" w:eastAsia="zh-CN"/>
        </w:rPr>
      </w:pPr>
      <w:r>
        <w:rPr>
          <w:rFonts w:hint="eastAsia" w:ascii="黑体" w:hAnsi="黑体" w:eastAsia="黑体" w:cs="黑体"/>
          <w:bCs/>
          <w:color w:val="auto"/>
          <w:sz w:val="24"/>
          <w:szCs w:val="24"/>
        </w:rPr>
        <w:t>项目名称：</w:t>
      </w:r>
      <w:r>
        <w:rPr>
          <w:rFonts w:hint="eastAsia" w:ascii="黑体" w:hAnsi="黑体" w:eastAsia="黑体" w:cs="黑体"/>
          <w:bCs/>
          <w:color w:val="auto"/>
          <w:sz w:val="24"/>
          <w:szCs w:val="24"/>
          <w:lang w:val="en-US" w:eastAsia="zh-CN"/>
        </w:rPr>
        <w:t>伊宁县</w:t>
      </w:r>
      <w:r>
        <w:rPr>
          <w:rFonts w:hint="eastAsia" w:ascii="黑体" w:hAnsi="黑体" w:eastAsia="黑体" w:cs="黑体"/>
          <w:bCs/>
          <w:color w:val="auto"/>
          <w:sz w:val="24"/>
          <w:szCs w:val="24"/>
        </w:rPr>
        <w:t>“福彩圆梦</w:t>
      </w:r>
      <w:r>
        <w:rPr>
          <w:rFonts w:hint="eastAsia" w:ascii="黑体" w:hAnsi="黑体" w:eastAsia="黑体" w:cs="黑体"/>
          <w:bCs/>
          <w:color w:val="auto"/>
          <w:sz w:val="24"/>
          <w:szCs w:val="24"/>
          <w:lang w:val="en-US" w:eastAsia="zh-CN"/>
        </w:rPr>
        <w:t xml:space="preserve"> </w:t>
      </w:r>
      <w:r>
        <w:rPr>
          <w:rFonts w:hint="eastAsia" w:ascii="黑体" w:hAnsi="黑体" w:eastAsia="黑体" w:cs="黑体"/>
          <w:bCs/>
          <w:color w:val="auto"/>
          <w:sz w:val="24"/>
          <w:szCs w:val="24"/>
        </w:rPr>
        <w:t>孤儿助学工程”项目</w:t>
      </w:r>
    </w:p>
    <w:p w14:paraId="49B6CAEA">
      <w:pPr>
        <w:pageBreakBefore w:val="0"/>
        <w:widowControl/>
        <w:kinsoku/>
        <w:wordWrap/>
        <w:overflowPunct/>
        <w:topLinePunct w:val="0"/>
        <w:autoSpaceDE/>
        <w:autoSpaceDN/>
        <w:bidi w:val="0"/>
        <w:snapToGrid w:val="0"/>
        <w:spacing w:line="360" w:lineRule="auto"/>
        <w:ind w:firstLine="0" w:firstLineChars="0"/>
        <w:rPr>
          <w:rFonts w:hint="eastAsia" w:ascii="黑体" w:hAnsi="黑体" w:eastAsia="黑体" w:cs="黑体"/>
          <w:bCs/>
          <w:color w:val="auto"/>
          <w:sz w:val="24"/>
          <w:szCs w:val="24"/>
        </w:rPr>
      </w:pPr>
      <w:r>
        <w:rPr>
          <w:rFonts w:hint="eastAsia" w:ascii="黑体" w:hAnsi="黑体" w:eastAsia="黑体" w:cs="黑体"/>
          <w:bCs/>
          <w:color w:val="auto"/>
          <w:sz w:val="24"/>
          <w:szCs w:val="24"/>
        </w:rPr>
        <w:t>委托单位：</w:t>
      </w:r>
      <w:r>
        <w:rPr>
          <w:rFonts w:hint="eastAsia" w:ascii="黑体" w:hAnsi="黑体" w:eastAsia="黑体" w:cs="黑体"/>
          <w:bCs/>
          <w:color w:val="auto"/>
          <w:sz w:val="24"/>
          <w:szCs w:val="24"/>
          <w:lang w:eastAsia="zh-CN"/>
        </w:rPr>
        <w:t>伊宁县</w:t>
      </w:r>
      <w:r>
        <w:rPr>
          <w:rFonts w:hint="eastAsia" w:ascii="黑体" w:hAnsi="黑体" w:eastAsia="黑体" w:cs="黑体"/>
          <w:bCs/>
          <w:color w:val="auto"/>
          <w:sz w:val="24"/>
          <w:szCs w:val="24"/>
        </w:rPr>
        <w:t>财政局</w:t>
      </w:r>
    </w:p>
    <w:p w14:paraId="7282ADF0">
      <w:pPr>
        <w:pageBreakBefore w:val="0"/>
        <w:widowControl/>
        <w:kinsoku/>
        <w:wordWrap/>
        <w:overflowPunct/>
        <w:topLinePunct w:val="0"/>
        <w:autoSpaceDE/>
        <w:autoSpaceDN/>
        <w:bidi w:val="0"/>
        <w:snapToGrid w:val="0"/>
        <w:spacing w:line="360" w:lineRule="auto"/>
        <w:ind w:firstLine="0" w:firstLineChars="0"/>
        <w:rPr>
          <w:rFonts w:hint="eastAsia" w:ascii="黑体" w:hAnsi="黑体" w:eastAsia="黑体" w:cs="黑体"/>
          <w:bCs/>
          <w:color w:val="auto"/>
          <w:sz w:val="24"/>
          <w:szCs w:val="24"/>
        </w:rPr>
      </w:pPr>
      <w:r>
        <w:rPr>
          <w:rFonts w:hint="eastAsia" w:ascii="黑体" w:hAnsi="黑体" w:eastAsia="黑体" w:cs="黑体"/>
          <w:bCs/>
          <w:color w:val="auto"/>
          <w:sz w:val="24"/>
          <w:szCs w:val="24"/>
        </w:rPr>
        <w:t>评价机构：新疆驰远天合有限责任会计师事务所</w:t>
      </w:r>
    </w:p>
    <w:p w14:paraId="3C92F776">
      <w:pPr>
        <w:pageBreakBefore w:val="0"/>
        <w:widowControl/>
        <w:kinsoku/>
        <w:wordWrap/>
        <w:overflowPunct/>
        <w:topLinePunct w:val="0"/>
        <w:autoSpaceDE/>
        <w:autoSpaceDN/>
        <w:bidi w:val="0"/>
        <w:snapToGrid w:val="0"/>
        <w:spacing w:line="360" w:lineRule="auto"/>
        <w:ind w:firstLine="0" w:firstLineChars="0"/>
        <w:rPr>
          <w:rFonts w:hint="eastAsia" w:ascii="黑体" w:hAnsi="黑体" w:eastAsia="黑体" w:cs="黑体"/>
          <w:bCs/>
          <w:color w:val="auto"/>
          <w:sz w:val="24"/>
          <w:szCs w:val="24"/>
        </w:rPr>
      </w:pPr>
      <w:r>
        <w:rPr>
          <w:rFonts w:hint="eastAsia" w:ascii="黑体" w:hAnsi="黑体" w:eastAsia="黑体" w:cs="黑体"/>
          <w:bCs/>
          <w:color w:val="auto"/>
          <w:sz w:val="24"/>
          <w:szCs w:val="24"/>
        </w:rPr>
        <w:t>机构负责人：孙卫红</w:t>
      </w:r>
    </w:p>
    <w:p w14:paraId="24D3577E">
      <w:pPr>
        <w:pageBreakBefore w:val="0"/>
        <w:widowControl/>
        <w:kinsoku/>
        <w:wordWrap/>
        <w:overflowPunct/>
        <w:topLinePunct w:val="0"/>
        <w:autoSpaceDE/>
        <w:autoSpaceDN/>
        <w:bidi w:val="0"/>
        <w:snapToGrid w:val="0"/>
        <w:spacing w:line="360" w:lineRule="auto"/>
        <w:ind w:firstLine="0" w:firstLineChars="0"/>
        <w:rPr>
          <w:rFonts w:hint="eastAsia" w:ascii="黑体" w:hAnsi="黑体" w:eastAsia="黑体" w:cs="黑体"/>
          <w:bCs/>
          <w:color w:val="auto"/>
          <w:sz w:val="24"/>
          <w:szCs w:val="24"/>
        </w:rPr>
      </w:pPr>
      <w:r>
        <w:rPr>
          <w:rFonts w:hint="eastAsia" w:ascii="黑体" w:hAnsi="黑体" w:eastAsia="黑体" w:cs="黑体"/>
          <w:bCs/>
          <w:color w:val="auto"/>
          <w:sz w:val="24"/>
          <w:szCs w:val="24"/>
        </w:rPr>
        <w:t>联系方式：0991-2835917、0991-2831583</w:t>
      </w:r>
    </w:p>
    <w:p w14:paraId="44F4D698">
      <w:pPr>
        <w:pageBreakBefore w:val="0"/>
        <w:widowControl/>
        <w:kinsoku/>
        <w:wordWrap/>
        <w:overflowPunct/>
        <w:topLinePunct w:val="0"/>
        <w:autoSpaceDE/>
        <w:autoSpaceDN/>
        <w:bidi w:val="0"/>
        <w:snapToGrid w:val="0"/>
        <w:spacing w:line="360" w:lineRule="auto"/>
        <w:ind w:firstLine="0" w:firstLineChars="0"/>
        <w:rPr>
          <w:rFonts w:hint="eastAsia" w:ascii="黑体" w:hAnsi="黑体" w:eastAsia="黑体" w:cs="黑体"/>
          <w:bCs/>
          <w:color w:val="auto"/>
          <w:sz w:val="24"/>
          <w:szCs w:val="24"/>
        </w:rPr>
      </w:pPr>
      <w:r>
        <w:rPr>
          <w:rFonts w:hint="eastAsia" w:ascii="黑体" w:hAnsi="黑体" w:eastAsia="黑体" w:cs="黑体"/>
          <w:bCs/>
          <w:color w:val="auto"/>
          <w:sz w:val="24"/>
          <w:szCs w:val="24"/>
        </w:rPr>
        <w:t>通讯地址：新疆乌鲁木齐市天山区新华南路9号汇源大厦13楼</w:t>
      </w:r>
    </w:p>
    <w:p w14:paraId="1E13FA55">
      <w:pPr>
        <w:pageBreakBefore w:val="0"/>
        <w:widowControl/>
        <w:kinsoku/>
        <w:wordWrap/>
        <w:overflowPunct/>
        <w:topLinePunct w:val="0"/>
        <w:autoSpaceDE/>
        <w:autoSpaceDN/>
        <w:bidi w:val="0"/>
        <w:snapToGrid w:val="0"/>
        <w:spacing w:line="360" w:lineRule="auto"/>
        <w:ind w:firstLine="0" w:firstLineChars="0"/>
        <w:rPr>
          <w:rFonts w:hint="eastAsia" w:ascii="黑体" w:hAnsi="黑体" w:eastAsia="黑体" w:cs="黑体"/>
          <w:bCs/>
          <w:color w:val="auto"/>
          <w:sz w:val="24"/>
          <w:szCs w:val="24"/>
        </w:rPr>
      </w:pPr>
      <w:r>
        <w:rPr>
          <w:rFonts w:hint="eastAsia" w:ascii="黑体" w:hAnsi="黑体" w:eastAsia="黑体" w:cs="黑体"/>
          <w:bCs/>
          <w:color w:val="auto"/>
          <w:sz w:val="24"/>
          <w:szCs w:val="24"/>
        </w:rPr>
        <w:t>邮政编码：830004</w:t>
      </w:r>
    </w:p>
    <w:p w14:paraId="0E6CCF16">
      <w:pPr>
        <w:pageBreakBefore w:val="0"/>
        <w:widowControl/>
        <w:kinsoku/>
        <w:wordWrap/>
        <w:overflowPunct/>
        <w:topLinePunct w:val="0"/>
        <w:autoSpaceDE/>
        <w:autoSpaceDN/>
        <w:bidi w:val="0"/>
        <w:snapToGrid w:val="0"/>
        <w:spacing w:line="360" w:lineRule="auto"/>
        <w:ind w:firstLine="0" w:firstLineChars="0"/>
        <w:rPr>
          <w:rFonts w:hint="eastAsia" w:ascii="黑体" w:hAnsi="黑体" w:eastAsia="黑体" w:cs="黑体"/>
          <w:bCs/>
          <w:color w:val="auto"/>
          <w:sz w:val="24"/>
          <w:szCs w:val="24"/>
        </w:rPr>
      </w:pPr>
    </w:p>
    <w:p w14:paraId="558489F9">
      <w:pPr>
        <w:pageBreakBefore w:val="0"/>
        <w:widowControl/>
        <w:kinsoku/>
        <w:wordWrap/>
        <w:overflowPunct/>
        <w:topLinePunct w:val="0"/>
        <w:autoSpaceDE/>
        <w:autoSpaceDN/>
        <w:bidi w:val="0"/>
        <w:snapToGrid w:val="0"/>
        <w:spacing w:line="360" w:lineRule="auto"/>
        <w:ind w:firstLine="0" w:firstLineChars="0"/>
        <w:rPr>
          <w:rFonts w:hint="eastAsia" w:ascii="黑体" w:hAnsi="黑体" w:eastAsia="黑体" w:cs="黑体"/>
          <w:bCs/>
          <w:color w:val="auto"/>
          <w:sz w:val="24"/>
          <w:szCs w:val="24"/>
        </w:rPr>
      </w:pPr>
    </w:p>
    <w:p w14:paraId="601FF947">
      <w:pPr>
        <w:widowControl/>
        <w:spacing w:line="360" w:lineRule="auto"/>
        <w:ind w:firstLine="0" w:firstLineChars="0"/>
        <w:rPr>
          <w:rFonts w:hint="eastAsia" w:ascii="黑体" w:hAnsi="黑体" w:eastAsia="黑体" w:cs="黑体"/>
          <w:bCs/>
          <w:color w:val="auto"/>
          <w:sz w:val="24"/>
          <w:szCs w:val="24"/>
        </w:rPr>
      </w:pPr>
      <w:r>
        <w:rPr>
          <w:rFonts w:hint="eastAsia" w:ascii="黑体" w:hAnsi="黑体" w:eastAsia="黑体" w:cs="黑体"/>
          <w:bCs/>
          <w:color w:val="auto"/>
          <w:sz w:val="24"/>
          <w:szCs w:val="24"/>
        </w:rPr>
        <w:t>项目评价小组成员：</w:t>
      </w:r>
    </w:p>
    <w:p w14:paraId="68B37498">
      <w:pPr>
        <w:widowControl/>
        <w:spacing w:line="360" w:lineRule="auto"/>
        <w:ind w:firstLine="480"/>
        <w:rPr>
          <w:rFonts w:hint="eastAsia" w:ascii="黑体" w:hAnsi="黑体" w:eastAsia="黑体" w:cs="黑体"/>
          <w:bCs/>
          <w:color w:val="auto"/>
          <w:sz w:val="24"/>
          <w:szCs w:val="24"/>
        </w:rPr>
      </w:pPr>
      <w:r>
        <w:rPr>
          <w:rFonts w:hint="eastAsia" w:ascii="黑体" w:hAnsi="黑体" w:eastAsia="黑体" w:cs="黑体"/>
          <w:bCs/>
          <w:color w:val="auto"/>
          <w:sz w:val="24"/>
          <w:szCs w:val="24"/>
        </w:rPr>
        <w:t>项目主评人：冯延萍  注册会计师、注册评估师</w:t>
      </w:r>
    </w:p>
    <w:p w14:paraId="2EE6E50D">
      <w:pPr>
        <w:widowControl/>
        <w:spacing w:line="360" w:lineRule="auto"/>
        <w:ind w:firstLine="480"/>
        <w:rPr>
          <w:rFonts w:hint="eastAsia" w:ascii="黑体" w:hAnsi="黑体" w:eastAsia="黑体" w:cs="黑体"/>
          <w:bCs/>
          <w:color w:val="auto"/>
          <w:sz w:val="24"/>
          <w:szCs w:val="24"/>
        </w:rPr>
      </w:pPr>
      <w:r>
        <w:rPr>
          <w:rFonts w:hint="eastAsia" w:ascii="黑体" w:hAnsi="黑体" w:eastAsia="黑体" w:cs="黑体"/>
          <w:bCs/>
          <w:color w:val="auto"/>
          <w:sz w:val="24"/>
          <w:szCs w:val="24"/>
        </w:rPr>
        <w:t xml:space="preserve">报告复核人：腊晓林  </w:t>
      </w:r>
      <w:r>
        <w:rPr>
          <w:rFonts w:hint="eastAsia" w:ascii="黑体" w:hAnsi="黑体" w:eastAsia="黑体" w:cs="黑体"/>
          <w:bCs/>
          <w:color w:val="auto"/>
          <w:sz w:val="24"/>
          <w:szCs w:val="24"/>
          <w:lang w:val="en-US" w:eastAsia="zh-CN"/>
        </w:rPr>
        <w:t>咨询工程师</w:t>
      </w:r>
    </w:p>
    <w:p w14:paraId="750F1F2E">
      <w:pPr>
        <w:widowControl/>
        <w:spacing w:line="360" w:lineRule="auto"/>
        <w:ind w:firstLine="480"/>
        <w:rPr>
          <w:rFonts w:hint="eastAsia" w:ascii="黑体" w:hAnsi="黑体" w:eastAsia="黑体" w:cs="黑体"/>
          <w:bCs/>
          <w:color w:val="auto"/>
          <w:sz w:val="24"/>
          <w:szCs w:val="24"/>
        </w:rPr>
      </w:pPr>
      <w:r>
        <w:rPr>
          <w:rFonts w:hint="eastAsia" w:ascii="黑体" w:hAnsi="黑体" w:eastAsia="黑体" w:cs="黑体"/>
          <w:bCs/>
          <w:color w:val="auto"/>
          <w:sz w:val="24"/>
          <w:szCs w:val="24"/>
        </w:rPr>
        <w:t>项目负责人：</w:t>
      </w:r>
      <w:r>
        <w:rPr>
          <w:rFonts w:hint="eastAsia" w:ascii="黑体" w:hAnsi="黑体" w:eastAsia="黑体" w:cs="黑体"/>
          <w:bCs/>
          <w:color w:val="auto"/>
          <w:sz w:val="24"/>
          <w:szCs w:val="24"/>
          <w:lang w:val="en-US" w:eastAsia="zh-CN"/>
        </w:rPr>
        <w:t>张 珊   中级经济师</w:t>
      </w:r>
    </w:p>
    <w:p w14:paraId="4A98200E">
      <w:pPr>
        <w:keepNext/>
        <w:keepLines/>
        <w:pageBreakBefore w:val="0"/>
        <w:kinsoku/>
        <w:wordWrap/>
        <w:overflowPunct/>
        <w:topLinePunct w:val="0"/>
        <w:autoSpaceDE/>
        <w:autoSpaceDN/>
        <w:bidi w:val="0"/>
        <w:adjustRightInd/>
        <w:snapToGrid w:val="0"/>
        <w:spacing w:line="360" w:lineRule="auto"/>
        <w:ind w:firstLine="480" w:firstLineChars="200"/>
        <w:rPr>
          <w:rFonts w:hint="eastAsia" w:ascii="黑体" w:hAnsi="黑体" w:eastAsia="黑体" w:cs="黑体"/>
          <w:bCs/>
          <w:color w:val="auto"/>
          <w:sz w:val="24"/>
          <w:szCs w:val="24"/>
        </w:rPr>
        <w:sectPr>
          <w:footerReference r:id="rId11" w:type="default"/>
          <w:pgSz w:w="11906" w:h="16838"/>
          <w:pgMar w:top="1440" w:right="1797" w:bottom="1440" w:left="1797" w:header="851" w:footer="992" w:gutter="0"/>
          <w:pgBorders>
            <w:top w:val="none" w:sz="0" w:space="0"/>
            <w:left w:val="none" w:sz="0" w:space="0"/>
            <w:bottom w:val="none" w:sz="0" w:space="0"/>
            <w:right w:val="none" w:sz="0" w:space="0"/>
          </w:pgBorders>
          <w:pgNumType w:fmt="decimal" w:start="1"/>
          <w:cols w:space="720" w:num="1"/>
          <w:rtlGutter w:val="0"/>
          <w:docGrid w:type="lines" w:linePitch="312" w:charSpace="0"/>
        </w:sectPr>
      </w:pPr>
      <w:r>
        <w:rPr>
          <w:rFonts w:hint="eastAsia" w:ascii="黑体" w:hAnsi="黑体" w:eastAsia="黑体" w:cs="黑体"/>
          <w:bCs/>
          <w:color w:val="auto"/>
          <w:sz w:val="24"/>
          <w:szCs w:val="24"/>
        </w:rPr>
        <w:t>项目组成员：</w:t>
      </w:r>
      <w:r>
        <w:rPr>
          <w:rFonts w:hint="eastAsia" w:ascii="黑体" w:hAnsi="黑体" w:eastAsia="黑体" w:cs="黑体"/>
          <w:bCs/>
          <w:color w:val="auto"/>
          <w:sz w:val="24"/>
          <w:szCs w:val="24"/>
          <w:lang w:val="en-US" w:eastAsia="zh-CN"/>
        </w:rPr>
        <w:t>孙 婕</w:t>
      </w:r>
    </w:p>
    <w:p w14:paraId="4C4BBAD0">
      <w:pPr>
        <w:pStyle w:val="4"/>
        <w:pageBreakBefore w:val="0"/>
        <w:kinsoku/>
        <w:wordWrap/>
        <w:overflowPunct/>
        <w:topLinePunct w:val="0"/>
        <w:autoSpaceDE/>
        <w:autoSpaceDN/>
        <w:bidi w:val="0"/>
        <w:snapToGrid w:val="0"/>
        <w:spacing w:line="360" w:lineRule="auto"/>
        <w:ind w:firstLine="0" w:firstLineChars="0"/>
        <w:jc w:val="center"/>
        <w:rPr>
          <w:rFonts w:ascii="Times New Roman" w:hAnsi="Times New Roman" w:cs="Times New Roman"/>
          <w:color w:val="auto"/>
        </w:rPr>
      </w:pPr>
      <w:bookmarkStart w:id="0" w:name="_Toc17859"/>
      <w:bookmarkStart w:id="1" w:name="_Toc930682738"/>
      <w:bookmarkStart w:id="2" w:name="_Toc26712"/>
      <w:bookmarkStart w:id="3" w:name="_Toc13486"/>
      <w:bookmarkStart w:id="4" w:name="_Toc9680"/>
      <w:bookmarkStart w:id="5" w:name="_Toc27606"/>
      <w:bookmarkStart w:id="6" w:name="_Toc1890963630"/>
      <w:bookmarkStart w:id="7" w:name="_Toc16666"/>
      <w:bookmarkStart w:id="8" w:name="_Toc10292"/>
      <w:bookmarkStart w:id="9" w:name="_Toc4077"/>
      <w:r>
        <w:rPr>
          <w:rFonts w:ascii="Times New Roman" w:hAnsi="Times New Roman" w:cs="Times New Roman"/>
          <w:color w:val="auto"/>
          <w:szCs w:val="32"/>
        </w:rPr>
        <w:t>报告摘要</w:t>
      </w:r>
      <w:bookmarkEnd w:id="0"/>
      <w:bookmarkEnd w:id="1"/>
      <w:bookmarkEnd w:id="2"/>
      <w:bookmarkEnd w:id="3"/>
      <w:bookmarkEnd w:id="4"/>
      <w:bookmarkEnd w:id="5"/>
      <w:bookmarkEnd w:id="6"/>
      <w:bookmarkEnd w:id="7"/>
      <w:bookmarkEnd w:id="8"/>
      <w:bookmarkEnd w:id="9"/>
    </w:p>
    <w:p w14:paraId="3FA28312">
      <w:pPr>
        <w:pageBreakBefore w:val="0"/>
        <w:kinsoku/>
        <w:wordWrap/>
        <w:overflowPunct/>
        <w:topLinePunct w:val="0"/>
        <w:autoSpaceDE/>
        <w:autoSpaceDN/>
        <w:bidi w:val="0"/>
        <w:snapToGrid w:val="0"/>
        <w:spacing w:line="360" w:lineRule="auto"/>
        <w:ind w:firstLine="42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受</w:t>
      </w:r>
      <w:r>
        <w:rPr>
          <w:rFonts w:hint="eastAsia" w:asciiTheme="minorEastAsia" w:hAnsiTheme="minorEastAsia" w:eastAsiaTheme="minorEastAsia" w:cstheme="minorEastAsia"/>
          <w:color w:val="auto"/>
          <w:lang w:eastAsia="zh-CN"/>
        </w:rPr>
        <w:t>伊宁县</w:t>
      </w:r>
      <w:r>
        <w:rPr>
          <w:rFonts w:hint="eastAsia" w:asciiTheme="minorEastAsia" w:hAnsiTheme="minorEastAsia" w:eastAsiaTheme="minorEastAsia" w:cstheme="minorEastAsia"/>
          <w:color w:val="auto"/>
        </w:rPr>
        <w:t>财政局委托，新疆驰远天合有限责任会计师事务所以第三方社会评价机构的身份，对</w:t>
      </w:r>
      <w:r>
        <w:rPr>
          <w:rFonts w:hint="default" w:ascii="Times New Roman" w:hAnsi="Times New Roman" w:cs="Times New Roman" w:eastAsiaTheme="minorEastAsia"/>
          <w:color w:val="auto"/>
          <w:lang w:val="en-US" w:eastAsia="zh-CN"/>
        </w:rPr>
        <w:t>2024</w:t>
      </w:r>
      <w:r>
        <w:rPr>
          <w:rFonts w:hint="default" w:ascii="Times New Roman" w:hAnsi="Times New Roman" w:cs="Times New Roman" w:eastAsiaTheme="minorEastAsia"/>
          <w:color w:val="auto"/>
        </w:rPr>
        <w:t>年</w:t>
      </w:r>
      <w:r>
        <w:rPr>
          <w:rFonts w:hint="eastAsia" w:asciiTheme="minorEastAsia" w:hAnsiTheme="minorEastAsia" w:eastAsiaTheme="minorEastAsia" w:cstheme="minorEastAsia"/>
          <w:color w:val="auto"/>
        </w:rPr>
        <w:t>度</w:t>
      </w:r>
      <w:r>
        <w:rPr>
          <w:rFonts w:hint="eastAsia" w:asciiTheme="minorEastAsia" w:hAnsiTheme="minorEastAsia" w:eastAsiaTheme="minorEastAsia" w:cstheme="minorEastAsia"/>
          <w:color w:val="auto"/>
          <w:lang w:eastAsia="zh-CN"/>
        </w:rPr>
        <w:t>伊宁县</w:t>
      </w:r>
      <w:r>
        <w:rPr>
          <w:rFonts w:hint="eastAsia" w:asciiTheme="minorEastAsia" w:hAnsiTheme="minorEastAsia" w:eastAsiaTheme="minorEastAsia" w:cstheme="minorEastAsia"/>
          <w:color w:val="auto"/>
        </w:rPr>
        <w:t>民政局单位实施的</w:t>
      </w:r>
      <w:r>
        <w:rPr>
          <w:rFonts w:hint="eastAsia" w:asciiTheme="minorEastAsia" w:hAnsiTheme="minorEastAsia" w:eastAsiaTheme="minorEastAsia" w:cstheme="minorEastAsia"/>
          <w:color w:val="auto"/>
          <w:lang w:val="en-US" w:eastAsia="zh-CN"/>
        </w:rPr>
        <w:t>伊宁县</w:t>
      </w:r>
      <w:r>
        <w:rPr>
          <w:rFonts w:hint="eastAsia" w:asciiTheme="minorEastAsia" w:hAnsiTheme="minorEastAsia" w:eastAsiaTheme="minorEastAsia" w:cstheme="minorEastAsia"/>
          <w:color w:val="auto"/>
        </w:rPr>
        <w:t>“</w:t>
      </w:r>
      <w:r>
        <w:rPr>
          <w:rFonts w:hint="eastAsia" w:asciiTheme="minorEastAsia" w:hAnsiTheme="minorEastAsia" w:eastAsiaTheme="minorEastAsia" w:cstheme="minorEastAsia"/>
          <w:color w:val="auto"/>
          <w:lang w:eastAsia="zh-CN"/>
        </w:rPr>
        <w:t>福彩圆梦</w:t>
      </w:r>
      <w:r>
        <w:rPr>
          <w:rFonts w:hint="eastAsia" w:asciiTheme="minorEastAsia" w:hAnsiTheme="minorEastAsia" w:eastAsiaTheme="minorEastAsia" w:cstheme="minorEastAsia"/>
          <w:color w:val="auto"/>
          <w:lang w:val="en-US" w:eastAsia="zh-CN"/>
        </w:rPr>
        <w:t xml:space="preserve"> </w:t>
      </w:r>
      <w:r>
        <w:rPr>
          <w:rFonts w:hint="eastAsia" w:asciiTheme="minorEastAsia" w:hAnsiTheme="minorEastAsia" w:eastAsiaTheme="minorEastAsia" w:cstheme="minorEastAsia"/>
          <w:color w:val="auto"/>
          <w:lang w:eastAsia="zh-CN"/>
        </w:rPr>
        <w:t>孤儿助学工程</w:t>
      </w:r>
      <w:r>
        <w:rPr>
          <w:rFonts w:hint="eastAsia" w:asciiTheme="minorEastAsia" w:hAnsiTheme="minorEastAsia" w:eastAsiaTheme="minorEastAsia" w:cstheme="minorEastAsia"/>
          <w:color w:val="auto"/>
        </w:rPr>
        <w:t>”项目开展了绩效评价工作并形成绩效评价报告，评价情况如下：</w:t>
      </w:r>
    </w:p>
    <w:p w14:paraId="770AD5BE">
      <w:pPr>
        <w:pageBreakBefore w:val="0"/>
        <w:kinsoku/>
        <w:wordWrap/>
        <w:overflowPunct/>
        <w:topLinePunct w:val="0"/>
        <w:autoSpaceDE/>
        <w:autoSpaceDN/>
        <w:bidi w:val="0"/>
        <w:snapToGrid w:val="0"/>
        <w:spacing w:line="360" w:lineRule="auto"/>
        <w:ind w:firstLine="482"/>
        <w:rPr>
          <w:rFonts w:hint="eastAsia" w:asciiTheme="minorEastAsia" w:hAnsiTheme="minorEastAsia" w:cstheme="minorEastAsia"/>
          <w:b/>
          <w:bCs/>
          <w:color w:val="auto"/>
          <w:sz w:val="21"/>
          <w:szCs w:val="21"/>
        </w:rPr>
      </w:pPr>
      <w:r>
        <w:rPr>
          <w:rFonts w:hint="eastAsia" w:asciiTheme="minorEastAsia" w:hAnsiTheme="minorEastAsia" w:cstheme="minorEastAsia"/>
          <w:b/>
          <w:bCs/>
          <w:color w:val="auto"/>
          <w:sz w:val="21"/>
          <w:szCs w:val="21"/>
        </w:rPr>
        <w:t>一、基本情况</w:t>
      </w:r>
    </w:p>
    <w:p w14:paraId="23895353">
      <w:pPr>
        <w:pageBreakBefore w:val="0"/>
        <w:kinsoku/>
        <w:wordWrap/>
        <w:overflowPunct/>
        <w:topLinePunct w:val="0"/>
        <w:autoSpaceDE/>
        <w:autoSpaceDN/>
        <w:bidi w:val="0"/>
        <w:snapToGrid w:val="0"/>
        <w:spacing w:line="360" w:lineRule="auto"/>
        <w:ind w:firstLine="422"/>
        <w:rPr>
          <w:rFonts w:hint="eastAsia" w:asciiTheme="minorEastAsia" w:hAnsiTheme="minorEastAsia" w:cstheme="minorEastAsia"/>
          <w:b/>
          <w:bCs/>
          <w:color w:val="auto"/>
          <w:sz w:val="21"/>
          <w:szCs w:val="21"/>
        </w:rPr>
      </w:pPr>
      <w:r>
        <w:rPr>
          <w:rFonts w:hint="eastAsia" w:asciiTheme="minorEastAsia" w:hAnsiTheme="minorEastAsia" w:cstheme="minorEastAsia"/>
          <w:b/>
          <w:bCs/>
          <w:color w:val="auto"/>
          <w:sz w:val="21"/>
          <w:szCs w:val="21"/>
        </w:rPr>
        <w:t>（一）项目背景</w:t>
      </w:r>
    </w:p>
    <w:p w14:paraId="3A55B7B4">
      <w:pPr>
        <w:pageBreakBefore w:val="0"/>
        <w:kinsoku/>
        <w:wordWrap/>
        <w:overflowPunct/>
        <w:topLinePunct w:val="0"/>
        <w:autoSpaceDE/>
        <w:autoSpaceDN/>
        <w:bidi w:val="0"/>
        <w:snapToGrid w:val="0"/>
        <w:spacing w:line="360" w:lineRule="auto"/>
        <w:ind w:firstLine="420"/>
        <w:rPr>
          <w:rFonts w:hint="eastAsia" w:asciiTheme="minorEastAsia" w:hAnsiTheme="minorEastAsia" w:cstheme="minorEastAsia"/>
          <w:color w:val="auto"/>
          <w:lang w:eastAsia="zh-CN"/>
        </w:rPr>
      </w:pPr>
      <w:r>
        <w:rPr>
          <w:rFonts w:hint="eastAsia" w:asciiTheme="minorEastAsia" w:hAnsiTheme="minorEastAsia" w:cstheme="minorEastAsia"/>
          <w:color w:val="auto"/>
          <w:lang w:eastAsia="zh-CN"/>
        </w:rPr>
        <w:t>根据《</w:t>
      </w:r>
      <w:r>
        <w:rPr>
          <w:rFonts w:hint="eastAsia" w:ascii="Times New Roman" w:hAnsi="Times New Roman" w:cs="Times New Roman"/>
          <w:color w:val="auto"/>
          <w:lang w:eastAsia="zh-CN"/>
        </w:rPr>
        <w:t>民政部办公厅关于印发</w:t>
      </w:r>
      <w:r>
        <w:rPr>
          <w:rFonts w:hint="eastAsia" w:cs="Times New Roman"/>
          <w:color w:val="auto"/>
          <w:lang w:eastAsia="zh-CN"/>
        </w:rPr>
        <w:t>〈</w:t>
      </w:r>
      <w:r>
        <w:rPr>
          <w:rFonts w:hint="eastAsia" w:ascii="Times New Roman" w:hAnsi="Times New Roman" w:cs="Times New Roman"/>
          <w:color w:val="auto"/>
          <w:lang w:eastAsia="zh-CN"/>
        </w:rPr>
        <w:t>“福彩圆梦•孤儿助学工程”项目实施暂行办法</w:t>
      </w:r>
      <w:r>
        <w:rPr>
          <w:rFonts w:hint="eastAsia" w:cs="Times New Roman"/>
          <w:color w:val="auto"/>
          <w:lang w:eastAsia="zh-CN"/>
        </w:rPr>
        <w:t>〉的通知》</w:t>
      </w:r>
      <w:r>
        <w:rPr>
          <w:rFonts w:hint="eastAsia" w:ascii="Times New Roman" w:hAnsi="Times New Roman" w:cs="Times New Roman"/>
          <w:color w:val="auto"/>
          <w:lang w:eastAsia="zh-CN"/>
        </w:rPr>
        <w:t>（民办发〔2019〕24号</w:t>
      </w:r>
      <w:r>
        <w:rPr>
          <w:rFonts w:hint="eastAsia" w:asciiTheme="minorEastAsia" w:hAnsiTheme="minorEastAsia" w:cstheme="minorEastAsia"/>
          <w:color w:val="auto"/>
          <w:lang w:eastAsia="zh-CN"/>
        </w:rPr>
        <w:t>）精神，为进一步健全孤儿保障制度，维护孤儿受教育权利，践行福彩救孤济困宗旨，民政部</w:t>
      </w:r>
      <w:r>
        <w:rPr>
          <w:rFonts w:hint="eastAsia" w:ascii="Times New Roman" w:hAnsi="Times New Roman" w:cs="Times New Roman"/>
          <w:color w:val="auto"/>
          <w:lang w:eastAsia="zh-CN"/>
        </w:rPr>
        <w:t>自2019年起利用彩票公益金，实施“福彩圆梦·孤儿助学工程”项目，对认定为孤儿身份、年满</w:t>
      </w:r>
      <w:r>
        <w:rPr>
          <w:rFonts w:hint="eastAsia" w:cs="Times New Roman"/>
          <w:color w:val="auto"/>
          <w:lang w:val="en-US" w:eastAsia="zh-CN"/>
        </w:rPr>
        <w:t>十八</w:t>
      </w:r>
      <w:r>
        <w:rPr>
          <w:rFonts w:hint="eastAsia" w:ascii="Times New Roman" w:hAnsi="Times New Roman" w:cs="Times New Roman"/>
          <w:color w:val="auto"/>
          <w:lang w:eastAsia="zh-CN"/>
        </w:rPr>
        <w:t>岁</w:t>
      </w:r>
      <w:r>
        <w:rPr>
          <w:rFonts w:hint="eastAsia" w:asciiTheme="minorEastAsia" w:hAnsiTheme="minorEastAsia" w:cstheme="minorEastAsia"/>
          <w:color w:val="auto"/>
          <w:lang w:eastAsia="zh-CN"/>
        </w:rPr>
        <w:t>后在普通全日制本科学校、普通全日制专科学校、高等职业学校等高等院校和中等职业学校就读中专、大专、本科学生和硕士研究生的孤儿进行补助。</w:t>
      </w:r>
    </w:p>
    <w:p w14:paraId="2DFD6E96">
      <w:pPr>
        <w:pageBreakBefore w:val="0"/>
        <w:kinsoku/>
        <w:wordWrap/>
        <w:overflowPunct/>
        <w:topLinePunct w:val="0"/>
        <w:autoSpaceDE/>
        <w:autoSpaceDN/>
        <w:bidi w:val="0"/>
        <w:snapToGrid w:val="0"/>
        <w:spacing w:line="360" w:lineRule="auto"/>
        <w:ind w:firstLine="422"/>
        <w:rPr>
          <w:rFonts w:hint="eastAsia" w:asciiTheme="minorEastAsia" w:hAnsiTheme="minorEastAsia" w:cstheme="minorEastAsia"/>
          <w:b/>
          <w:bCs/>
          <w:color w:val="auto"/>
          <w:sz w:val="21"/>
          <w:szCs w:val="21"/>
        </w:rPr>
      </w:pPr>
      <w:r>
        <w:rPr>
          <w:rFonts w:hint="eastAsia" w:asciiTheme="minorEastAsia" w:hAnsiTheme="minorEastAsia" w:cstheme="minorEastAsia"/>
          <w:b/>
          <w:bCs/>
          <w:color w:val="auto"/>
          <w:sz w:val="21"/>
          <w:szCs w:val="21"/>
        </w:rPr>
        <w:t>（二）项目概况</w:t>
      </w:r>
    </w:p>
    <w:p w14:paraId="041618E7">
      <w:pPr>
        <w:pageBreakBefore w:val="0"/>
        <w:kinsoku/>
        <w:wordWrap/>
        <w:overflowPunct/>
        <w:topLinePunct w:val="0"/>
        <w:autoSpaceDE/>
        <w:autoSpaceDN/>
        <w:bidi w:val="0"/>
        <w:snapToGrid w:val="0"/>
        <w:spacing w:line="360" w:lineRule="auto"/>
        <w:ind w:firstLine="420"/>
        <w:rPr>
          <w:rFonts w:hint="eastAsia" w:asciiTheme="minorEastAsia" w:hAnsiTheme="minorEastAsia" w:cstheme="minorEastAsia"/>
          <w:color w:val="auto"/>
          <w:lang w:eastAsia="zh-CN"/>
        </w:rPr>
      </w:pPr>
      <w:r>
        <w:rPr>
          <w:rFonts w:hint="eastAsia" w:asciiTheme="minorEastAsia" w:hAnsiTheme="minorEastAsia" w:cstheme="minorEastAsia"/>
          <w:color w:val="auto"/>
          <w:lang w:eastAsia="zh-CN"/>
        </w:rPr>
        <w:t>项目名称：</w:t>
      </w:r>
      <w:r>
        <w:rPr>
          <w:rFonts w:hint="eastAsia" w:asciiTheme="minorEastAsia" w:hAnsiTheme="minorEastAsia" w:cstheme="minorEastAsia"/>
          <w:color w:val="auto"/>
          <w:lang w:val="en-US" w:eastAsia="zh-CN"/>
        </w:rPr>
        <w:t>伊宁县</w:t>
      </w:r>
      <w:r>
        <w:rPr>
          <w:rFonts w:hint="eastAsia" w:asciiTheme="minorEastAsia" w:hAnsiTheme="minorEastAsia" w:cstheme="minorEastAsia"/>
          <w:color w:val="auto"/>
          <w:lang w:eastAsia="zh-CN"/>
        </w:rPr>
        <w:t>“福彩圆梦</w:t>
      </w:r>
      <w:r>
        <w:rPr>
          <w:rFonts w:hint="eastAsia" w:asciiTheme="minorEastAsia" w:hAnsiTheme="minorEastAsia" w:cstheme="minorEastAsia"/>
          <w:color w:val="auto"/>
          <w:lang w:val="en-US" w:eastAsia="zh-CN"/>
        </w:rPr>
        <w:t xml:space="preserve"> </w:t>
      </w:r>
      <w:r>
        <w:rPr>
          <w:rFonts w:hint="eastAsia" w:asciiTheme="minorEastAsia" w:hAnsiTheme="minorEastAsia" w:cstheme="minorEastAsia"/>
          <w:color w:val="auto"/>
          <w:lang w:eastAsia="zh-CN"/>
        </w:rPr>
        <w:t>孤儿助学工程”项目（以下简称“该项目”或“项目”）</w:t>
      </w:r>
    </w:p>
    <w:p w14:paraId="0884CCE1">
      <w:pPr>
        <w:pageBreakBefore w:val="0"/>
        <w:kinsoku/>
        <w:wordWrap/>
        <w:overflowPunct/>
        <w:topLinePunct w:val="0"/>
        <w:autoSpaceDE/>
        <w:autoSpaceDN/>
        <w:bidi w:val="0"/>
        <w:snapToGrid w:val="0"/>
        <w:spacing w:line="360" w:lineRule="auto"/>
        <w:ind w:firstLine="420"/>
        <w:rPr>
          <w:rFonts w:hint="eastAsia" w:asciiTheme="minorEastAsia" w:hAnsiTheme="minorEastAsia" w:cstheme="minorEastAsia"/>
          <w:color w:val="auto"/>
          <w:lang w:eastAsia="zh-CN"/>
        </w:rPr>
      </w:pPr>
      <w:r>
        <w:rPr>
          <w:rFonts w:hint="eastAsia" w:asciiTheme="minorEastAsia" w:hAnsiTheme="minorEastAsia" w:cstheme="minorEastAsia"/>
          <w:color w:val="auto"/>
          <w:lang w:eastAsia="zh-CN"/>
        </w:rPr>
        <w:t>项目实施单位：伊宁县民政局</w:t>
      </w:r>
    </w:p>
    <w:p w14:paraId="1C5A8F8F">
      <w:pPr>
        <w:pageBreakBefore w:val="0"/>
        <w:kinsoku/>
        <w:wordWrap/>
        <w:overflowPunct/>
        <w:topLinePunct w:val="0"/>
        <w:autoSpaceDE/>
        <w:autoSpaceDN/>
        <w:bidi w:val="0"/>
        <w:snapToGrid w:val="0"/>
        <w:spacing w:line="360" w:lineRule="auto"/>
        <w:ind w:firstLine="420"/>
        <w:rPr>
          <w:rFonts w:hint="eastAsia" w:ascii="Times New Roman" w:hAnsi="Times New Roman" w:cs="Times New Roman"/>
          <w:color w:val="auto"/>
          <w:lang w:eastAsia="zh-CN"/>
        </w:rPr>
      </w:pPr>
      <w:r>
        <w:rPr>
          <w:rFonts w:hint="eastAsia" w:asciiTheme="minorEastAsia" w:hAnsiTheme="minorEastAsia" w:cstheme="minorEastAsia"/>
          <w:color w:val="auto"/>
          <w:lang w:eastAsia="zh-CN"/>
        </w:rPr>
        <w:t>补助对象及范围：伊宁</w:t>
      </w:r>
      <w:r>
        <w:rPr>
          <w:rFonts w:hint="eastAsia" w:ascii="Times New Roman" w:hAnsi="Times New Roman" w:cs="Times New Roman"/>
          <w:color w:val="auto"/>
          <w:lang w:eastAsia="zh-CN"/>
        </w:rPr>
        <w:t>县</w:t>
      </w:r>
      <w:r>
        <w:rPr>
          <w:rFonts w:hint="eastAsia" w:ascii="Times New Roman" w:hAnsi="Times New Roman" w:cs="Times New Roman"/>
          <w:color w:val="auto"/>
          <w:lang w:val="en-US" w:eastAsia="zh-CN"/>
        </w:rPr>
        <w:t>民政局2024年共认定</w:t>
      </w:r>
      <w:r>
        <w:rPr>
          <w:rFonts w:hint="eastAsia" w:ascii="Times New Roman" w:hAnsi="Times New Roman" w:cs="Times New Roman"/>
          <w:color w:val="auto"/>
          <w:lang w:eastAsia="zh-CN"/>
        </w:rPr>
        <w:t>伊宁县户籍</w:t>
      </w:r>
      <w:r>
        <w:rPr>
          <w:rFonts w:hint="eastAsia" w:ascii="Times New Roman" w:hAnsi="Times New Roman" w:cs="Times New Roman"/>
          <w:color w:val="auto"/>
          <w:lang w:val="en-US" w:eastAsia="zh-CN"/>
        </w:rPr>
        <w:t>孤儿24名</w:t>
      </w:r>
      <w:r>
        <w:rPr>
          <w:rFonts w:hint="eastAsia" w:ascii="Times New Roman" w:hAnsi="Times New Roman" w:cs="Times New Roman"/>
          <w:color w:val="auto"/>
          <w:lang w:eastAsia="zh-CN"/>
        </w:rPr>
        <w:t>，</w:t>
      </w:r>
      <w:r>
        <w:rPr>
          <w:rFonts w:hint="eastAsia" w:ascii="Times New Roman" w:hAnsi="Times New Roman" w:cs="Times New Roman"/>
          <w:color w:val="auto"/>
          <w:lang w:val="en-US" w:eastAsia="zh-CN"/>
        </w:rPr>
        <w:t>均符合</w:t>
      </w:r>
      <w:r>
        <w:rPr>
          <w:rFonts w:hint="eastAsia" w:ascii="Times New Roman" w:hAnsi="Times New Roman" w:cs="Times New Roman"/>
          <w:color w:val="auto"/>
          <w:lang w:eastAsia="zh-CN"/>
        </w:rPr>
        <w:t>年满十八周岁前被认定为孤儿身份且未被收养，年满十八周岁后在普通全日制本科学校、普通全日制专科学校、高等职业学校等高等院校及中等职业学校就读的中专、大专、本科学生和硕士研究生。</w:t>
      </w:r>
    </w:p>
    <w:p w14:paraId="595A93A8">
      <w:pPr>
        <w:pageBreakBefore w:val="0"/>
        <w:kinsoku/>
        <w:wordWrap/>
        <w:overflowPunct/>
        <w:topLinePunct w:val="0"/>
        <w:autoSpaceDE/>
        <w:autoSpaceDN/>
        <w:bidi w:val="0"/>
        <w:snapToGrid w:val="0"/>
        <w:spacing w:line="360" w:lineRule="auto"/>
        <w:ind w:firstLine="420"/>
        <w:rPr>
          <w:rFonts w:hint="eastAsia" w:asciiTheme="minorEastAsia" w:hAnsiTheme="minorEastAsia" w:cstheme="minorEastAsia"/>
          <w:color w:val="auto"/>
          <w:lang w:eastAsia="zh-CN"/>
        </w:rPr>
      </w:pPr>
      <w:r>
        <w:rPr>
          <w:rFonts w:hint="eastAsia" w:ascii="Times New Roman" w:hAnsi="Times New Roman" w:cs="Times New Roman"/>
          <w:color w:val="auto"/>
          <w:lang w:eastAsia="zh-CN"/>
        </w:rPr>
        <w:t>资助标准：根据《民政部办公厅关于印发</w:t>
      </w:r>
      <w:r>
        <w:rPr>
          <w:rFonts w:hint="eastAsia" w:cs="Times New Roman"/>
          <w:color w:val="auto"/>
          <w:lang w:eastAsia="zh-CN"/>
        </w:rPr>
        <w:t>〈</w:t>
      </w:r>
      <w:r>
        <w:rPr>
          <w:rFonts w:hint="eastAsia" w:ascii="Times New Roman" w:hAnsi="Times New Roman" w:cs="Times New Roman"/>
          <w:color w:val="auto"/>
          <w:lang w:eastAsia="zh-CN"/>
        </w:rPr>
        <w:t>“福彩圆梦•孤儿助学工程”项目实施暂行办法</w:t>
      </w:r>
      <w:r>
        <w:rPr>
          <w:rFonts w:hint="eastAsia" w:cs="Times New Roman"/>
          <w:color w:val="auto"/>
          <w:lang w:eastAsia="zh-CN"/>
        </w:rPr>
        <w:t>〉的通知》</w:t>
      </w:r>
      <w:r>
        <w:rPr>
          <w:rFonts w:hint="eastAsia" w:ascii="Times New Roman" w:hAnsi="Times New Roman" w:cs="Times New Roman"/>
          <w:color w:val="auto"/>
          <w:lang w:eastAsia="zh-CN"/>
        </w:rPr>
        <w:t>（民办发〔2019〕24号）</w:t>
      </w:r>
      <w:r>
        <w:rPr>
          <w:rFonts w:hint="eastAsia" w:ascii="Times New Roman" w:hAnsi="Times New Roman" w:cs="Times New Roman"/>
          <w:color w:val="auto"/>
          <w:lang w:val="en-US" w:eastAsia="zh-CN"/>
        </w:rPr>
        <w:t>要求，</w:t>
      </w:r>
      <w:r>
        <w:rPr>
          <w:rFonts w:hint="eastAsia" w:asciiTheme="minorEastAsia" w:hAnsiTheme="minorEastAsia" w:cstheme="minorEastAsia"/>
          <w:color w:val="auto"/>
          <w:lang w:val="en-US" w:eastAsia="zh-CN"/>
        </w:rPr>
        <w:t>该项目为符合条件的受助人</w:t>
      </w:r>
      <w:r>
        <w:rPr>
          <w:rFonts w:hint="eastAsia" w:asciiTheme="minorEastAsia" w:hAnsiTheme="minorEastAsia" w:cstheme="minorEastAsia"/>
          <w:color w:val="auto"/>
          <w:lang w:eastAsia="zh-CN"/>
        </w:rPr>
        <w:t>每人每学年</w:t>
      </w:r>
      <w:r>
        <w:rPr>
          <w:rFonts w:hint="eastAsia" w:asciiTheme="minorEastAsia" w:hAnsiTheme="minorEastAsia" w:cstheme="minorEastAsia"/>
          <w:color w:val="auto"/>
          <w:lang w:val="en-US" w:eastAsia="zh-CN"/>
        </w:rPr>
        <w:t>发放</w:t>
      </w:r>
      <w:r>
        <w:rPr>
          <w:rFonts w:hint="eastAsia" w:asciiTheme="minorEastAsia" w:hAnsiTheme="minorEastAsia" w:cstheme="minorEastAsia"/>
          <w:color w:val="auto"/>
          <w:lang w:eastAsia="zh-CN"/>
        </w:rPr>
        <w:t>1</w:t>
      </w:r>
      <w:r>
        <w:rPr>
          <w:rFonts w:hint="eastAsia" w:asciiTheme="minorEastAsia" w:hAnsiTheme="minorEastAsia" w:cstheme="minorEastAsia"/>
          <w:color w:val="auto"/>
          <w:lang w:val="en-US" w:eastAsia="zh-CN"/>
        </w:rPr>
        <w:t>.00</w:t>
      </w:r>
      <w:r>
        <w:rPr>
          <w:rFonts w:hint="eastAsia" w:asciiTheme="minorEastAsia" w:hAnsiTheme="minorEastAsia" w:cstheme="minorEastAsia"/>
          <w:color w:val="auto"/>
          <w:lang w:eastAsia="zh-CN"/>
        </w:rPr>
        <w:t>万元助学金。</w:t>
      </w:r>
    </w:p>
    <w:p w14:paraId="65D86CA4">
      <w:pPr>
        <w:pageBreakBefore w:val="0"/>
        <w:kinsoku/>
        <w:wordWrap/>
        <w:overflowPunct/>
        <w:topLinePunct w:val="0"/>
        <w:autoSpaceDE/>
        <w:autoSpaceDN/>
        <w:bidi w:val="0"/>
        <w:snapToGrid w:val="0"/>
        <w:spacing w:line="360" w:lineRule="auto"/>
        <w:ind w:firstLine="422"/>
        <w:rPr>
          <w:rFonts w:hint="eastAsia" w:asciiTheme="minorEastAsia" w:hAnsiTheme="minorEastAsia" w:cstheme="minorEastAsia"/>
          <w:b/>
          <w:bCs/>
          <w:color w:val="auto"/>
          <w:sz w:val="21"/>
          <w:szCs w:val="21"/>
        </w:rPr>
      </w:pPr>
      <w:r>
        <w:rPr>
          <w:rFonts w:hint="eastAsia" w:asciiTheme="minorEastAsia" w:hAnsiTheme="minorEastAsia" w:cstheme="minorEastAsia"/>
          <w:b/>
          <w:bCs/>
          <w:color w:val="auto"/>
          <w:sz w:val="21"/>
          <w:szCs w:val="21"/>
        </w:rPr>
        <w:t>（三）资金使用情况</w:t>
      </w:r>
    </w:p>
    <w:p w14:paraId="0FAB88EF">
      <w:pPr>
        <w:pageBreakBefore w:val="0"/>
        <w:kinsoku/>
        <w:wordWrap/>
        <w:overflowPunct/>
        <w:topLinePunct w:val="0"/>
        <w:autoSpaceDE/>
        <w:autoSpaceDN/>
        <w:bidi w:val="0"/>
        <w:snapToGrid w:val="0"/>
        <w:spacing w:line="360" w:lineRule="auto"/>
        <w:ind w:firstLine="420"/>
        <w:rPr>
          <w:rFonts w:hint="eastAsia" w:asciiTheme="minorEastAsia" w:hAnsiTheme="minorEastAsia" w:cstheme="minorEastAsia"/>
          <w:color w:val="auto"/>
          <w:lang w:eastAsia="zh-CN"/>
        </w:rPr>
      </w:pPr>
      <w:r>
        <w:rPr>
          <w:rFonts w:hint="eastAsia" w:asciiTheme="minorEastAsia" w:hAnsiTheme="minorEastAsia" w:cstheme="minorEastAsia"/>
          <w:color w:val="auto"/>
          <w:lang w:eastAsia="zh-CN"/>
        </w:rPr>
        <w:t>该项目</w:t>
      </w:r>
      <w:r>
        <w:rPr>
          <w:rFonts w:hint="eastAsia" w:ascii="Times New Roman" w:hAnsi="Times New Roman" w:cs="Times New Roman"/>
          <w:color w:val="auto"/>
          <w:lang w:eastAsia="zh-CN"/>
        </w:rPr>
        <w:t>共下达2024年中央专项彩票公益金支持地方社会公益事业发展（社会福利）资金18.00万元，截至2024年12月31日，实际支出资金总额为18.00万元</w:t>
      </w:r>
      <w:r>
        <w:rPr>
          <w:rFonts w:hint="eastAsia" w:ascii="Times New Roman" w:hAnsi="Times New Roman" w:cs="Times New Roman"/>
          <w:color w:val="auto"/>
          <w:lang w:val="en-US" w:eastAsia="zh-CN"/>
        </w:rPr>
        <w:t>，</w:t>
      </w:r>
      <w:r>
        <w:rPr>
          <w:rFonts w:hint="eastAsia" w:ascii="Times New Roman" w:hAnsi="Times New Roman" w:cs="Times New Roman"/>
          <w:color w:val="auto"/>
          <w:lang w:eastAsia="zh-CN"/>
        </w:rPr>
        <w:t>预算资金执行率为100.00%，</w:t>
      </w:r>
      <w:r>
        <w:rPr>
          <w:rFonts w:hint="eastAsia" w:ascii="Times New Roman" w:hAnsi="Times New Roman" w:cs="Times New Roman"/>
          <w:color w:val="auto"/>
          <w:lang w:val="en-US" w:eastAsia="zh-CN"/>
        </w:rPr>
        <w:t>其中：为已入学的12名正常顺延学位的孤儿发放一学年</w:t>
      </w:r>
      <w:r>
        <w:rPr>
          <w:rFonts w:hint="eastAsia" w:ascii="Times New Roman" w:hAnsi="Times New Roman" w:cs="Times New Roman"/>
          <w:color w:val="auto"/>
          <w:lang w:eastAsia="zh-CN"/>
        </w:rPr>
        <w:t>助学补助金，</w:t>
      </w:r>
      <w:r>
        <w:rPr>
          <w:rFonts w:hint="eastAsia" w:ascii="Times New Roman" w:hAnsi="Times New Roman" w:cs="Times New Roman"/>
          <w:color w:val="auto"/>
          <w:lang w:val="en-US" w:eastAsia="zh-CN"/>
        </w:rPr>
        <w:t>按照每人每学年1.00万元的标准，共计发放12.00万元；</w:t>
      </w:r>
      <w:r>
        <w:rPr>
          <w:rFonts w:hint="eastAsia" w:cs="Times New Roman"/>
          <w:color w:val="auto"/>
          <w:lang w:val="en-US" w:eastAsia="zh-CN"/>
        </w:rPr>
        <w:t>为</w:t>
      </w:r>
      <w:r>
        <w:rPr>
          <w:rFonts w:hint="eastAsia" w:ascii="Times New Roman" w:hAnsi="Times New Roman" w:cs="Times New Roman"/>
          <w:color w:val="auto"/>
          <w:lang w:val="en-US" w:eastAsia="zh-CN"/>
        </w:rPr>
        <w:t>1名</w:t>
      </w:r>
      <w:r>
        <w:rPr>
          <w:rFonts w:hint="eastAsia" w:cs="Times New Roman"/>
          <w:color w:val="auto"/>
          <w:lang w:val="en-US" w:eastAsia="zh-CN"/>
        </w:rPr>
        <w:t>未满十八周岁</w:t>
      </w:r>
      <w:r>
        <w:rPr>
          <w:rFonts w:hint="eastAsia" w:ascii="Times New Roman" w:hAnsi="Times New Roman" w:cs="Times New Roman"/>
          <w:color w:val="auto"/>
          <w:lang w:val="en-US" w:eastAsia="zh-CN"/>
        </w:rPr>
        <w:t>正常顺延学位的孤儿按照每人每学年1.00万元的标准，发放半学年</w:t>
      </w:r>
      <w:r>
        <w:rPr>
          <w:rFonts w:hint="eastAsia" w:ascii="Times New Roman" w:hAnsi="Times New Roman" w:cs="Times New Roman"/>
          <w:color w:val="auto"/>
          <w:lang w:eastAsia="zh-CN"/>
        </w:rPr>
        <w:t>助学补助金</w:t>
      </w:r>
      <w:r>
        <w:rPr>
          <w:rFonts w:hint="eastAsia" w:cs="Times New Roman"/>
          <w:color w:val="auto"/>
          <w:lang w:val="en-US" w:eastAsia="zh-CN"/>
        </w:rPr>
        <w:t>0.5</w:t>
      </w:r>
      <w:r>
        <w:rPr>
          <w:rFonts w:hint="eastAsia" w:ascii="Times New Roman" w:hAnsi="Times New Roman" w:cs="Times New Roman"/>
          <w:color w:val="auto"/>
          <w:lang w:val="en-US" w:eastAsia="zh-CN"/>
        </w:rPr>
        <w:t>0万元</w:t>
      </w:r>
      <w:r>
        <w:rPr>
          <w:rFonts w:hint="eastAsia" w:cs="Times New Roman"/>
          <w:color w:val="auto"/>
          <w:lang w:val="en-US" w:eastAsia="zh-CN"/>
        </w:rPr>
        <w:t>；</w:t>
      </w:r>
      <w:r>
        <w:rPr>
          <w:rFonts w:hint="eastAsia" w:ascii="Times New Roman" w:hAnsi="Times New Roman" w:cs="Times New Roman"/>
          <w:color w:val="auto"/>
          <w:lang w:val="en-US" w:eastAsia="zh-CN"/>
        </w:rPr>
        <w:t>1</w:t>
      </w:r>
      <w:r>
        <w:rPr>
          <w:rFonts w:hint="eastAsia" w:cs="Times New Roman"/>
          <w:color w:val="auto"/>
          <w:lang w:val="en-US" w:eastAsia="zh-CN"/>
        </w:rPr>
        <w:t>1</w:t>
      </w:r>
      <w:r>
        <w:rPr>
          <w:rFonts w:hint="eastAsia" w:ascii="Times New Roman" w:hAnsi="Times New Roman" w:cs="Times New Roman"/>
          <w:color w:val="auto"/>
          <w:lang w:val="en-US" w:eastAsia="zh-CN"/>
        </w:rPr>
        <w:t>名孤儿为毕业生、新生按照每人每学年1.00万元的标准，发放半学年</w:t>
      </w:r>
      <w:r>
        <w:rPr>
          <w:rFonts w:hint="eastAsia" w:ascii="Times New Roman" w:hAnsi="Times New Roman" w:cs="Times New Roman"/>
          <w:color w:val="auto"/>
          <w:lang w:eastAsia="zh-CN"/>
        </w:rPr>
        <w:t>助学补助金</w:t>
      </w:r>
      <w:r>
        <w:rPr>
          <w:rFonts w:hint="eastAsia" w:cs="Times New Roman"/>
          <w:color w:val="auto"/>
          <w:lang w:val="en-US" w:eastAsia="zh-CN"/>
        </w:rPr>
        <w:t>5.5</w:t>
      </w:r>
      <w:r>
        <w:rPr>
          <w:rFonts w:hint="eastAsia" w:ascii="Times New Roman" w:hAnsi="Times New Roman" w:cs="Times New Roman"/>
          <w:color w:val="auto"/>
          <w:lang w:val="en-US" w:eastAsia="zh-CN"/>
        </w:rPr>
        <w:t>0万元</w:t>
      </w:r>
      <w:r>
        <w:rPr>
          <w:rFonts w:hint="eastAsia" w:asciiTheme="minorEastAsia" w:hAnsiTheme="minorEastAsia" w:cstheme="minorEastAsia"/>
          <w:color w:val="auto"/>
          <w:lang w:eastAsia="zh-CN"/>
        </w:rPr>
        <w:t>。</w:t>
      </w:r>
    </w:p>
    <w:p w14:paraId="163FF204">
      <w:pPr>
        <w:pageBreakBefore w:val="0"/>
        <w:kinsoku/>
        <w:wordWrap/>
        <w:overflowPunct/>
        <w:topLinePunct w:val="0"/>
        <w:autoSpaceDE/>
        <w:autoSpaceDN/>
        <w:bidi w:val="0"/>
        <w:snapToGrid w:val="0"/>
        <w:spacing w:line="360" w:lineRule="auto"/>
        <w:ind w:firstLine="422"/>
        <w:rPr>
          <w:rFonts w:hint="eastAsia" w:asciiTheme="minorEastAsia" w:hAnsiTheme="minorEastAsia" w:cstheme="minorEastAsia"/>
          <w:b/>
          <w:bCs/>
          <w:color w:val="auto"/>
        </w:rPr>
      </w:pPr>
      <w:r>
        <w:rPr>
          <w:rFonts w:hint="eastAsia" w:asciiTheme="minorEastAsia" w:hAnsiTheme="minorEastAsia" w:cstheme="minorEastAsia"/>
          <w:b/>
          <w:bCs/>
          <w:color w:val="auto"/>
          <w:sz w:val="21"/>
          <w:szCs w:val="21"/>
          <w:lang w:val="en-US" w:eastAsia="zh-CN"/>
        </w:rPr>
        <w:t>二</w:t>
      </w:r>
      <w:r>
        <w:rPr>
          <w:rFonts w:hint="eastAsia" w:asciiTheme="minorEastAsia" w:hAnsiTheme="minorEastAsia" w:cstheme="minorEastAsia"/>
          <w:b/>
          <w:bCs/>
          <w:color w:val="auto"/>
          <w:sz w:val="21"/>
          <w:szCs w:val="21"/>
        </w:rPr>
        <w:t>、评价结论</w:t>
      </w:r>
    </w:p>
    <w:p w14:paraId="1D1204C3">
      <w:pPr>
        <w:pageBreakBefore w:val="0"/>
        <w:kinsoku/>
        <w:wordWrap/>
        <w:overflowPunct/>
        <w:topLinePunct w:val="0"/>
        <w:autoSpaceDE/>
        <w:autoSpaceDN/>
        <w:bidi w:val="0"/>
        <w:snapToGrid w:val="0"/>
        <w:spacing w:line="360" w:lineRule="auto"/>
        <w:ind w:firstLine="420"/>
        <w:rPr>
          <w:rFonts w:hint="eastAsia" w:asciiTheme="minorEastAsia" w:hAnsiTheme="minorEastAsia" w:cstheme="minorEastAsia"/>
          <w:color w:val="auto"/>
        </w:rPr>
      </w:pPr>
      <w:r>
        <w:rPr>
          <w:rFonts w:hint="eastAsia" w:asciiTheme="minorEastAsia" w:hAnsiTheme="minorEastAsia" w:cstheme="minorEastAsia"/>
          <w:color w:val="auto"/>
          <w:lang w:val="zh-TW" w:eastAsia="zh-CN"/>
        </w:rPr>
        <w:t>通过调研、数据分析、访谈等方式，根据绩效评价方案确定的指标体系及评分标准，</w:t>
      </w:r>
      <w:r>
        <w:rPr>
          <w:rFonts w:hint="eastAsia" w:asciiTheme="minorEastAsia" w:hAnsiTheme="minorEastAsia" w:cstheme="minorEastAsia"/>
          <w:color w:val="auto"/>
          <w:lang w:val="en-US" w:eastAsia="zh-CN"/>
        </w:rPr>
        <w:t>对</w:t>
      </w:r>
      <w:r>
        <w:rPr>
          <w:rFonts w:hint="eastAsia" w:asciiTheme="minorEastAsia" w:hAnsiTheme="minorEastAsia" w:cstheme="minorEastAsia"/>
          <w:color w:val="auto"/>
          <w:lang w:eastAsia="zh-CN"/>
        </w:rPr>
        <w:t>伊宁县“福彩圆梦</w:t>
      </w:r>
      <w:r>
        <w:rPr>
          <w:rFonts w:hint="eastAsia" w:asciiTheme="minorEastAsia" w:hAnsiTheme="minorEastAsia" w:cstheme="minorEastAsia"/>
          <w:color w:val="auto"/>
          <w:lang w:val="en-US" w:eastAsia="zh-CN"/>
        </w:rPr>
        <w:t xml:space="preserve"> </w:t>
      </w:r>
      <w:r>
        <w:rPr>
          <w:rFonts w:hint="eastAsia" w:asciiTheme="minorEastAsia" w:hAnsiTheme="minorEastAsia" w:cstheme="minorEastAsia"/>
          <w:color w:val="auto"/>
          <w:lang w:eastAsia="zh-CN"/>
        </w:rPr>
        <w:t>孤儿助学工程”</w:t>
      </w:r>
      <w:r>
        <w:rPr>
          <w:rFonts w:hint="eastAsia" w:asciiTheme="minorEastAsia" w:hAnsiTheme="minorEastAsia" w:cstheme="minorEastAsia"/>
          <w:color w:val="auto"/>
        </w:rPr>
        <w:t>项目</w:t>
      </w:r>
      <w:r>
        <w:rPr>
          <w:rFonts w:hint="eastAsia" w:asciiTheme="minorEastAsia" w:hAnsiTheme="minorEastAsia" w:cstheme="minorEastAsia"/>
          <w:color w:val="auto"/>
          <w:lang w:val="zh-TW" w:eastAsia="zh-CN"/>
        </w:rPr>
        <w:t>绩效进行客观评价，经评价分析，该项目最终评分结果为</w:t>
      </w:r>
      <w:r>
        <w:rPr>
          <w:rFonts w:hint="eastAsia" w:hAnsi="Times New Roman" w:cs="Times New Roman" w:eastAsiaTheme="minorEastAsia"/>
          <w:color w:val="auto"/>
          <w:sz w:val="21"/>
          <w:szCs w:val="21"/>
          <w:highlight w:val="none"/>
          <w:lang w:val="en-US" w:eastAsia="zh-CN"/>
        </w:rPr>
        <w:t>87.87</w:t>
      </w:r>
      <w:r>
        <w:rPr>
          <w:rFonts w:hint="eastAsia" w:ascii="Times New Roman" w:hAnsi="Times New Roman" w:cs="Times New Roman"/>
          <w:color w:val="auto"/>
          <w:lang w:val="en-US" w:eastAsia="zh-CN"/>
        </w:rPr>
        <w:t>分</w:t>
      </w:r>
      <w:r>
        <w:rPr>
          <w:rFonts w:hint="eastAsia" w:asciiTheme="minorEastAsia" w:hAnsiTheme="minorEastAsia" w:cstheme="minorEastAsia"/>
          <w:color w:val="auto"/>
          <w:lang w:val="zh-TW" w:eastAsia="zh-CN"/>
        </w:rPr>
        <w:t>，绩效评级为“</w:t>
      </w:r>
      <w:r>
        <w:rPr>
          <w:rFonts w:hint="eastAsia" w:asciiTheme="minorEastAsia" w:hAnsiTheme="minorEastAsia" w:cstheme="minorEastAsia"/>
          <w:color w:val="auto"/>
          <w:lang w:val="en-US" w:eastAsia="zh-CN"/>
        </w:rPr>
        <w:t>良</w:t>
      </w:r>
      <w:r>
        <w:rPr>
          <w:rFonts w:hint="eastAsia" w:asciiTheme="minorEastAsia" w:hAnsiTheme="minorEastAsia" w:cstheme="minorEastAsia"/>
          <w:color w:val="auto"/>
          <w:lang w:val="zh-TW" w:eastAsia="zh-CN"/>
        </w:rPr>
        <w:t>”。各部分权重和绩效分值如下表：</w:t>
      </w:r>
    </w:p>
    <w:p w14:paraId="0FE3246D">
      <w:pPr>
        <w:pageBreakBefore w:val="0"/>
        <w:kinsoku/>
        <w:wordWrap/>
        <w:overflowPunct/>
        <w:topLinePunct w:val="0"/>
        <w:autoSpaceDE/>
        <w:autoSpaceDN/>
        <w:bidi w:val="0"/>
        <w:snapToGrid w:val="0"/>
        <w:spacing w:line="360" w:lineRule="auto"/>
        <w:ind w:firstLine="0" w:firstLineChars="0"/>
        <w:jc w:val="center"/>
        <w:rPr>
          <w:rFonts w:hint="default" w:ascii="Times New Roman" w:hAnsi="Times New Roman" w:cs="Times New Roman" w:eastAsiaTheme="minorEastAsia"/>
          <w:color w:val="auto"/>
          <w:lang w:val="zh-TW"/>
        </w:rPr>
      </w:pPr>
      <w:r>
        <w:rPr>
          <w:rFonts w:hint="default" w:ascii="Times New Roman" w:hAnsi="Times New Roman" w:cs="Times New Roman" w:eastAsiaTheme="minorEastAsia"/>
          <w:color w:val="auto"/>
          <w:lang w:val="zh-TW" w:eastAsia="zh-CN"/>
        </w:rPr>
        <w:t>伊宁县</w:t>
      </w:r>
      <w:r>
        <w:rPr>
          <w:rFonts w:hint="default" w:ascii="Times New Roman" w:hAnsi="Times New Roman" w:cs="Times New Roman" w:eastAsiaTheme="minorEastAsia"/>
          <w:color w:val="auto"/>
          <w:lang w:val="zh-TW"/>
        </w:rPr>
        <w:t>“</w:t>
      </w:r>
      <w:r>
        <w:rPr>
          <w:rFonts w:hint="default" w:ascii="Times New Roman" w:hAnsi="Times New Roman" w:cs="Times New Roman" w:eastAsiaTheme="minorEastAsia"/>
          <w:color w:val="auto"/>
          <w:lang w:val="zh-TW" w:eastAsia="zh-CN"/>
        </w:rPr>
        <w:t>福彩圆梦 孤儿助学工程”项目</w:t>
      </w:r>
      <w:r>
        <w:rPr>
          <w:rFonts w:hint="default" w:ascii="Times New Roman" w:hAnsi="Times New Roman" w:cs="Times New Roman" w:eastAsiaTheme="minorEastAsia"/>
          <w:color w:val="auto"/>
          <w:lang w:val="zh-TW"/>
        </w:rPr>
        <w:t>得分表</w:t>
      </w:r>
    </w:p>
    <w:tbl>
      <w:tblPr>
        <w:tblStyle w:val="18"/>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883"/>
        <w:gridCol w:w="1614"/>
        <w:gridCol w:w="1614"/>
        <w:gridCol w:w="1614"/>
        <w:gridCol w:w="1614"/>
        <w:gridCol w:w="1130"/>
      </w:tblGrid>
      <w:tr w14:paraId="06C247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21"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77AE58F">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rPr>
            </w:pPr>
            <w:r>
              <w:rPr>
                <w:rFonts w:ascii="Times New Roman" w:hAnsi="Times New Roman" w:eastAsia="宋体" w:cs="Times New Roman"/>
                <w:b/>
                <w:bCs/>
                <w:color w:val="auto"/>
                <w:sz w:val="21"/>
                <w:szCs w:val="21"/>
                <w:lang w:val="zh-TW" w:eastAsia="zh-TW"/>
              </w:rPr>
              <w:t>指标</w:t>
            </w:r>
          </w:p>
        </w:tc>
        <w:tc>
          <w:tcPr>
            <w:tcW w:w="952"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00B756F5">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rPr>
            </w:pPr>
            <w:r>
              <w:rPr>
                <w:rFonts w:ascii="Times New Roman" w:hAnsi="Times New Roman" w:eastAsia="宋体" w:cs="Times New Roman"/>
                <w:b/>
                <w:bCs/>
                <w:color w:val="auto"/>
                <w:sz w:val="21"/>
                <w:szCs w:val="21"/>
                <w:lang w:val="zh-TW" w:eastAsia="zh-TW"/>
              </w:rPr>
              <w:t>项目决策类</w:t>
            </w:r>
          </w:p>
        </w:tc>
        <w:tc>
          <w:tcPr>
            <w:tcW w:w="952"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A83781D">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rPr>
            </w:pPr>
            <w:r>
              <w:rPr>
                <w:rFonts w:ascii="Times New Roman" w:hAnsi="Times New Roman" w:eastAsia="宋体" w:cs="Times New Roman"/>
                <w:b/>
                <w:bCs/>
                <w:color w:val="auto"/>
                <w:sz w:val="21"/>
                <w:szCs w:val="21"/>
                <w:lang w:val="zh-TW" w:eastAsia="zh-TW"/>
              </w:rPr>
              <w:t>项目</w:t>
            </w:r>
            <w:r>
              <w:rPr>
                <w:rFonts w:ascii="Times New Roman" w:hAnsi="Times New Roman" w:eastAsia="宋体" w:cs="Times New Roman"/>
                <w:b/>
                <w:bCs/>
                <w:color w:val="auto"/>
                <w:sz w:val="21"/>
                <w:szCs w:val="21"/>
              </w:rPr>
              <w:t>过程</w:t>
            </w:r>
            <w:r>
              <w:rPr>
                <w:rFonts w:ascii="Times New Roman" w:hAnsi="Times New Roman" w:eastAsia="宋体" w:cs="Times New Roman"/>
                <w:b/>
                <w:bCs/>
                <w:color w:val="auto"/>
                <w:sz w:val="21"/>
                <w:szCs w:val="21"/>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6EC04B0">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rPr>
            </w:pPr>
            <w:r>
              <w:rPr>
                <w:rFonts w:ascii="Times New Roman" w:hAnsi="Times New Roman" w:eastAsia="宋体" w:cs="Times New Roman"/>
                <w:b/>
                <w:bCs/>
                <w:color w:val="auto"/>
                <w:sz w:val="21"/>
                <w:szCs w:val="21"/>
                <w:lang w:val="zh-TW" w:eastAsia="zh-TW"/>
              </w:rPr>
              <w:t>项目</w:t>
            </w:r>
            <w:r>
              <w:rPr>
                <w:rFonts w:ascii="Times New Roman" w:hAnsi="Times New Roman" w:eastAsia="宋体" w:cs="Times New Roman"/>
                <w:b/>
                <w:bCs/>
                <w:color w:val="auto"/>
                <w:sz w:val="21"/>
                <w:szCs w:val="21"/>
              </w:rPr>
              <w:t>产出</w:t>
            </w:r>
            <w:r>
              <w:rPr>
                <w:rFonts w:ascii="Times New Roman" w:hAnsi="Times New Roman" w:eastAsia="宋体" w:cs="Times New Roman"/>
                <w:b/>
                <w:bCs/>
                <w:color w:val="auto"/>
                <w:sz w:val="21"/>
                <w:szCs w:val="21"/>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885E79D">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lang w:val="zh-TW" w:eastAsia="zh-TW"/>
              </w:rPr>
            </w:pPr>
            <w:r>
              <w:rPr>
                <w:rFonts w:ascii="Times New Roman" w:hAnsi="Times New Roman" w:eastAsia="宋体" w:cs="Times New Roman"/>
                <w:b/>
                <w:bCs/>
                <w:color w:val="auto"/>
                <w:sz w:val="21"/>
                <w:szCs w:val="21"/>
                <w:lang w:val="zh-TW" w:eastAsia="zh-TW"/>
              </w:rPr>
              <w:t>项目</w:t>
            </w:r>
            <w:r>
              <w:rPr>
                <w:rFonts w:ascii="Times New Roman" w:hAnsi="Times New Roman" w:eastAsia="宋体" w:cs="Times New Roman"/>
                <w:b/>
                <w:bCs/>
                <w:color w:val="auto"/>
                <w:sz w:val="21"/>
                <w:szCs w:val="21"/>
              </w:rPr>
              <w:t>效益</w:t>
            </w:r>
            <w:r>
              <w:rPr>
                <w:rFonts w:ascii="Times New Roman" w:hAnsi="Times New Roman" w:eastAsia="宋体" w:cs="Times New Roman"/>
                <w:b/>
                <w:bCs/>
                <w:color w:val="auto"/>
                <w:sz w:val="21"/>
                <w:szCs w:val="21"/>
                <w:lang w:val="zh-TW" w:eastAsia="zh-TW"/>
              </w:rPr>
              <w:t>类</w:t>
            </w:r>
          </w:p>
        </w:tc>
        <w:tc>
          <w:tcPr>
            <w:tcW w:w="666"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8FA2A99">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rPr>
            </w:pPr>
            <w:r>
              <w:rPr>
                <w:rFonts w:ascii="Times New Roman" w:hAnsi="Times New Roman" w:eastAsia="宋体" w:cs="Times New Roman"/>
                <w:b/>
                <w:bCs/>
                <w:color w:val="auto"/>
                <w:sz w:val="21"/>
                <w:szCs w:val="21"/>
                <w:lang w:val="zh-TW" w:eastAsia="zh-TW"/>
              </w:rPr>
              <w:t>合计分值</w:t>
            </w:r>
          </w:p>
        </w:tc>
      </w:tr>
      <w:tr w14:paraId="601A7D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21"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5DFACDDA">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权重</w:t>
            </w:r>
          </w:p>
        </w:tc>
        <w:tc>
          <w:tcPr>
            <w:tcW w:w="16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DD61DE7">
            <w:pPr>
              <w:pStyle w:val="29"/>
              <w:snapToGrid w:val="0"/>
              <w:spacing w:before="0" w:after="0" w:line="240" w:lineRule="auto"/>
              <w:jc w:val="center"/>
              <w:rPr>
                <w:rFonts w:ascii="Times New Roman" w:hAnsi="Times New Roman" w:eastAsia="宋体" w:cs="Times New Roman"/>
                <w:color w:val="auto"/>
                <w:sz w:val="21"/>
                <w:szCs w:val="21"/>
                <w:highlight w:val="none"/>
              </w:rPr>
            </w:pPr>
            <w:r>
              <w:rPr>
                <w:rFonts w:hint="default" w:ascii="Times New Roman" w:hAnsi="Times New Roman" w:cs="Times New Roman" w:eastAsiaTheme="minorEastAsia"/>
                <w:color w:val="auto"/>
                <w:sz w:val="21"/>
                <w:szCs w:val="21"/>
                <w:highlight w:val="none"/>
              </w:rPr>
              <w:t xml:space="preserve">10.00 </w:t>
            </w:r>
          </w:p>
        </w:tc>
        <w:tc>
          <w:tcPr>
            <w:tcW w:w="16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88C7A3F">
            <w:pPr>
              <w:pStyle w:val="29"/>
              <w:snapToGrid w:val="0"/>
              <w:spacing w:before="0" w:after="0" w:line="240" w:lineRule="auto"/>
              <w:jc w:val="center"/>
              <w:rPr>
                <w:rFonts w:ascii="Times New Roman" w:hAnsi="Times New Roman" w:eastAsia="宋体" w:cs="Times New Roman"/>
                <w:color w:val="auto"/>
                <w:sz w:val="21"/>
                <w:szCs w:val="21"/>
                <w:highlight w:val="none"/>
              </w:rPr>
            </w:pPr>
            <w:r>
              <w:rPr>
                <w:rFonts w:hint="default" w:ascii="Times New Roman" w:hAnsi="Times New Roman" w:cs="Times New Roman" w:eastAsiaTheme="minorEastAsia"/>
                <w:color w:val="auto"/>
                <w:sz w:val="21"/>
                <w:szCs w:val="21"/>
                <w:highlight w:val="none"/>
              </w:rPr>
              <w:t xml:space="preserve">25.00 </w:t>
            </w:r>
          </w:p>
        </w:tc>
        <w:tc>
          <w:tcPr>
            <w:tcW w:w="16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A60AF50">
            <w:pPr>
              <w:pStyle w:val="29"/>
              <w:snapToGrid w:val="0"/>
              <w:spacing w:before="0" w:after="0" w:line="240" w:lineRule="auto"/>
              <w:jc w:val="center"/>
              <w:rPr>
                <w:rFonts w:ascii="Times New Roman" w:hAnsi="Times New Roman" w:eastAsia="宋体" w:cs="Times New Roman"/>
                <w:color w:val="auto"/>
                <w:sz w:val="21"/>
                <w:szCs w:val="21"/>
                <w:highlight w:val="none"/>
              </w:rPr>
            </w:pPr>
            <w:r>
              <w:rPr>
                <w:rFonts w:hint="default" w:ascii="Times New Roman" w:hAnsi="Times New Roman" w:cs="Times New Roman" w:eastAsiaTheme="minorEastAsia"/>
                <w:color w:val="auto"/>
                <w:sz w:val="21"/>
                <w:szCs w:val="21"/>
                <w:highlight w:val="none"/>
              </w:rPr>
              <w:t xml:space="preserve">30.00 </w:t>
            </w:r>
          </w:p>
        </w:tc>
        <w:tc>
          <w:tcPr>
            <w:tcW w:w="16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E55693F">
            <w:pPr>
              <w:pStyle w:val="29"/>
              <w:snapToGrid w:val="0"/>
              <w:spacing w:before="0" w:after="0" w:line="240" w:lineRule="auto"/>
              <w:jc w:val="center"/>
              <w:rPr>
                <w:rFonts w:ascii="Times New Roman" w:hAnsi="Times New Roman" w:eastAsia="宋体" w:cs="Times New Roman"/>
                <w:color w:val="auto"/>
                <w:sz w:val="21"/>
                <w:szCs w:val="21"/>
                <w:highlight w:val="none"/>
              </w:rPr>
            </w:pPr>
            <w:r>
              <w:rPr>
                <w:rFonts w:hint="default" w:ascii="Times New Roman" w:hAnsi="Times New Roman" w:cs="Times New Roman" w:eastAsiaTheme="minorEastAsia"/>
                <w:color w:val="auto"/>
                <w:sz w:val="21"/>
                <w:szCs w:val="21"/>
                <w:highlight w:val="none"/>
              </w:rPr>
              <w:t xml:space="preserve">35.00 </w:t>
            </w:r>
          </w:p>
        </w:tc>
        <w:tc>
          <w:tcPr>
            <w:tcW w:w="11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6F06A77A">
            <w:pPr>
              <w:pStyle w:val="29"/>
              <w:snapToGrid w:val="0"/>
              <w:spacing w:before="0" w:after="0" w:line="240" w:lineRule="auto"/>
              <w:jc w:val="center"/>
              <w:rPr>
                <w:rFonts w:ascii="Times New Roman" w:hAnsi="Times New Roman" w:eastAsia="宋体" w:cs="Times New Roman"/>
                <w:color w:val="auto"/>
                <w:sz w:val="21"/>
                <w:szCs w:val="21"/>
                <w:highlight w:val="none"/>
              </w:rPr>
            </w:pPr>
            <w:r>
              <w:rPr>
                <w:rFonts w:hint="default" w:ascii="Times New Roman" w:hAnsi="Times New Roman" w:cs="Times New Roman" w:eastAsiaTheme="minorEastAsia"/>
                <w:color w:val="auto"/>
                <w:sz w:val="21"/>
                <w:szCs w:val="21"/>
                <w:highlight w:val="none"/>
              </w:rPr>
              <w:t xml:space="preserve">100.00 </w:t>
            </w:r>
          </w:p>
        </w:tc>
      </w:tr>
      <w:tr w14:paraId="5EAB56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21"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21F8308">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得分</w:t>
            </w:r>
          </w:p>
        </w:tc>
        <w:tc>
          <w:tcPr>
            <w:tcW w:w="16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3B70B59">
            <w:pPr>
              <w:pStyle w:val="29"/>
              <w:snapToGrid w:val="0"/>
              <w:spacing w:before="0" w:after="0" w:line="240" w:lineRule="auto"/>
              <w:jc w:val="center"/>
              <w:rPr>
                <w:rFonts w:ascii="Times New Roman" w:hAnsi="Times New Roman" w:eastAsia="宋体" w:cs="Times New Roman"/>
                <w:color w:val="auto"/>
                <w:sz w:val="21"/>
                <w:szCs w:val="21"/>
                <w:highlight w:val="none"/>
              </w:rPr>
            </w:pPr>
            <w:r>
              <w:rPr>
                <w:rFonts w:hint="default" w:ascii="Times New Roman" w:hAnsi="Times New Roman" w:cs="Times New Roman" w:eastAsiaTheme="minorEastAsia"/>
                <w:color w:val="auto"/>
                <w:sz w:val="21"/>
                <w:szCs w:val="21"/>
                <w:highlight w:val="none"/>
              </w:rPr>
              <w:t>10.00</w:t>
            </w:r>
          </w:p>
        </w:tc>
        <w:tc>
          <w:tcPr>
            <w:tcW w:w="16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298FDAF">
            <w:pPr>
              <w:pStyle w:val="29"/>
              <w:snapToGrid w:val="0"/>
              <w:spacing w:before="0" w:after="0" w:line="240" w:lineRule="auto"/>
              <w:jc w:val="center"/>
              <w:rPr>
                <w:rFonts w:hint="default" w:ascii="Times New Roman" w:hAnsi="Times New Roman" w:eastAsia="宋体" w:cs="Times New Roman"/>
                <w:color w:val="auto"/>
                <w:sz w:val="21"/>
                <w:szCs w:val="21"/>
                <w:highlight w:val="none"/>
                <w:lang w:val="en-US"/>
              </w:rPr>
            </w:pPr>
            <w:r>
              <w:rPr>
                <w:rFonts w:hint="eastAsia" w:hAnsi="Times New Roman" w:cs="Times New Roman" w:eastAsiaTheme="minorEastAsia"/>
                <w:color w:val="auto"/>
                <w:sz w:val="21"/>
                <w:szCs w:val="21"/>
                <w:highlight w:val="none"/>
                <w:lang w:val="en-US" w:eastAsia="zh-CN"/>
              </w:rPr>
              <w:t>18.50</w:t>
            </w:r>
          </w:p>
        </w:tc>
        <w:tc>
          <w:tcPr>
            <w:tcW w:w="16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243BDA7">
            <w:pPr>
              <w:pStyle w:val="29"/>
              <w:snapToGrid w:val="0"/>
              <w:spacing w:before="0" w:after="0" w:line="240" w:lineRule="auto"/>
              <w:jc w:val="center"/>
              <w:rPr>
                <w:rFonts w:ascii="Times New Roman" w:hAnsi="Times New Roman" w:eastAsia="宋体" w:cs="Times New Roman"/>
                <w:color w:val="auto"/>
                <w:sz w:val="21"/>
                <w:szCs w:val="21"/>
                <w:highlight w:val="none"/>
              </w:rPr>
            </w:pPr>
            <w:r>
              <w:rPr>
                <w:rFonts w:hint="eastAsia" w:hAnsi="Times New Roman" w:cs="Times New Roman" w:eastAsiaTheme="minorEastAsia"/>
                <w:color w:val="auto"/>
                <w:sz w:val="21"/>
                <w:szCs w:val="21"/>
                <w:highlight w:val="none"/>
                <w:lang w:val="en-US" w:eastAsia="zh-CN"/>
              </w:rPr>
              <w:t>24.37</w:t>
            </w:r>
            <w:r>
              <w:rPr>
                <w:rFonts w:hint="default" w:ascii="Times New Roman" w:hAnsi="Times New Roman" w:cs="Times New Roman" w:eastAsiaTheme="minorEastAsia"/>
                <w:color w:val="auto"/>
                <w:sz w:val="21"/>
                <w:szCs w:val="21"/>
                <w:highlight w:val="none"/>
              </w:rPr>
              <w:t xml:space="preserve"> </w:t>
            </w:r>
          </w:p>
        </w:tc>
        <w:tc>
          <w:tcPr>
            <w:tcW w:w="16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C17B5CF">
            <w:pPr>
              <w:pStyle w:val="29"/>
              <w:snapToGrid w:val="0"/>
              <w:spacing w:before="0" w:after="0" w:line="240" w:lineRule="auto"/>
              <w:jc w:val="center"/>
              <w:rPr>
                <w:rFonts w:ascii="Times New Roman" w:hAnsi="Times New Roman" w:eastAsia="宋体" w:cs="Times New Roman"/>
                <w:color w:val="auto"/>
                <w:sz w:val="21"/>
                <w:szCs w:val="21"/>
                <w:highlight w:val="none"/>
              </w:rPr>
            </w:pPr>
            <w:r>
              <w:rPr>
                <w:rFonts w:hint="default" w:ascii="Times New Roman" w:hAnsi="Times New Roman" w:cs="Times New Roman" w:eastAsiaTheme="minorEastAsia"/>
                <w:color w:val="auto"/>
                <w:sz w:val="21"/>
                <w:szCs w:val="21"/>
                <w:highlight w:val="none"/>
              </w:rPr>
              <w:t xml:space="preserve">35.00 </w:t>
            </w:r>
          </w:p>
        </w:tc>
        <w:tc>
          <w:tcPr>
            <w:tcW w:w="11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87DE298">
            <w:pPr>
              <w:pStyle w:val="29"/>
              <w:snapToGrid w:val="0"/>
              <w:spacing w:before="0" w:after="0" w:line="240" w:lineRule="auto"/>
              <w:jc w:val="center"/>
              <w:rPr>
                <w:rFonts w:hint="default" w:ascii="Times New Roman" w:hAnsi="Times New Roman" w:eastAsia="宋体" w:cs="Times New Roman"/>
                <w:color w:val="auto"/>
                <w:sz w:val="21"/>
                <w:szCs w:val="21"/>
                <w:highlight w:val="none"/>
                <w:lang w:val="en-US"/>
              </w:rPr>
            </w:pPr>
            <w:r>
              <w:rPr>
                <w:rFonts w:hint="eastAsia" w:hAnsi="Times New Roman" w:cs="Times New Roman" w:eastAsiaTheme="minorEastAsia"/>
                <w:color w:val="auto"/>
                <w:sz w:val="21"/>
                <w:szCs w:val="21"/>
                <w:highlight w:val="none"/>
                <w:lang w:val="en-US" w:eastAsia="zh-CN"/>
              </w:rPr>
              <w:t>87.87</w:t>
            </w:r>
          </w:p>
        </w:tc>
      </w:tr>
      <w:tr w14:paraId="73236D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21"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74859D5">
            <w:pPr>
              <w:pStyle w:val="29"/>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bCs/>
                <w:color w:val="auto"/>
                <w:sz w:val="21"/>
                <w:szCs w:val="21"/>
                <w:highlight w:val="none"/>
              </w:rPr>
            </w:pPr>
            <w:r>
              <w:rPr>
                <w:rFonts w:ascii="Times New Roman" w:hAnsi="Times New Roman" w:eastAsia="宋体" w:cs="Times New Roman"/>
                <w:b/>
                <w:bCs/>
                <w:color w:val="auto"/>
                <w:sz w:val="21"/>
                <w:szCs w:val="21"/>
                <w:highlight w:val="none"/>
                <w:lang w:val="zh-TW" w:eastAsia="zh-TW"/>
              </w:rPr>
              <w:t>得分率</w:t>
            </w:r>
          </w:p>
        </w:tc>
        <w:tc>
          <w:tcPr>
            <w:tcW w:w="16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8AAA74B">
            <w:pPr>
              <w:pStyle w:val="29"/>
              <w:snapToGrid w:val="0"/>
              <w:spacing w:before="0" w:after="0" w:line="240" w:lineRule="auto"/>
              <w:jc w:val="center"/>
              <w:rPr>
                <w:rFonts w:ascii="Times New Roman" w:hAnsi="Times New Roman" w:eastAsia="宋体" w:cs="Times New Roman"/>
                <w:color w:val="auto"/>
                <w:sz w:val="21"/>
                <w:szCs w:val="21"/>
                <w:highlight w:val="none"/>
              </w:rPr>
            </w:pPr>
            <w:r>
              <w:rPr>
                <w:rFonts w:hint="default" w:ascii="Times New Roman" w:hAnsi="Times New Roman" w:cs="Times New Roman" w:eastAsiaTheme="minorEastAsia"/>
                <w:color w:val="auto"/>
                <w:sz w:val="21"/>
                <w:szCs w:val="21"/>
                <w:highlight w:val="none"/>
              </w:rPr>
              <w:t>100.00%</w:t>
            </w:r>
          </w:p>
        </w:tc>
        <w:tc>
          <w:tcPr>
            <w:tcW w:w="16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CDCAE76">
            <w:pPr>
              <w:pStyle w:val="29"/>
              <w:snapToGrid w:val="0"/>
              <w:spacing w:before="0" w:after="0" w:line="240" w:lineRule="auto"/>
              <w:jc w:val="center"/>
              <w:rPr>
                <w:rFonts w:ascii="Times New Roman" w:hAnsi="Times New Roman" w:eastAsia="宋体" w:cs="Times New Roman"/>
                <w:color w:val="auto"/>
                <w:sz w:val="21"/>
                <w:szCs w:val="21"/>
                <w:highlight w:val="none"/>
              </w:rPr>
            </w:pPr>
            <w:r>
              <w:rPr>
                <w:rFonts w:hint="eastAsia" w:hAnsi="Times New Roman" w:cs="Times New Roman" w:eastAsiaTheme="minorEastAsia"/>
                <w:color w:val="auto"/>
                <w:sz w:val="21"/>
                <w:szCs w:val="21"/>
                <w:highlight w:val="none"/>
                <w:lang w:val="en-US" w:eastAsia="zh-CN"/>
              </w:rPr>
              <w:t>74</w:t>
            </w:r>
            <w:r>
              <w:rPr>
                <w:rFonts w:hint="default" w:ascii="Times New Roman" w:hAnsi="Times New Roman" w:cs="Times New Roman" w:eastAsiaTheme="minorEastAsia"/>
                <w:color w:val="auto"/>
                <w:sz w:val="21"/>
                <w:szCs w:val="21"/>
                <w:highlight w:val="none"/>
              </w:rPr>
              <w:t>.00%</w:t>
            </w:r>
          </w:p>
        </w:tc>
        <w:tc>
          <w:tcPr>
            <w:tcW w:w="16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57B08DF4">
            <w:pPr>
              <w:pStyle w:val="29"/>
              <w:snapToGrid w:val="0"/>
              <w:spacing w:before="0" w:after="0" w:line="240" w:lineRule="auto"/>
              <w:jc w:val="center"/>
              <w:rPr>
                <w:rFonts w:ascii="Times New Roman" w:hAnsi="Times New Roman" w:eastAsia="宋体" w:cs="Times New Roman"/>
                <w:color w:val="auto"/>
                <w:sz w:val="21"/>
                <w:szCs w:val="21"/>
                <w:highlight w:val="none"/>
              </w:rPr>
            </w:pPr>
            <w:r>
              <w:rPr>
                <w:rFonts w:hint="eastAsia" w:hAnsi="Times New Roman" w:cs="Times New Roman" w:eastAsiaTheme="minorEastAsia"/>
                <w:color w:val="auto"/>
                <w:sz w:val="21"/>
                <w:szCs w:val="21"/>
                <w:highlight w:val="none"/>
                <w:lang w:val="en-US" w:eastAsia="zh-CN"/>
              </w:rPr>
              <w:t>81.2</w:t>
            </w:r>
            <w:r>
              <w:rPr>
                <w:rFonts w:hint="default" w:ascii="Times New Roman" w:hAnsi="Times New Roman" w:cs="Times New Roman" w:eastAsiaTheme="minorEastAsia"/>
                <w:color w:val="auto"/>
                <w:sz w:val="21"/>
                <w:szCs w:val="21"/>
                <w:highlight w:val="none"/>
                <w:lang w:val="en-US" w:eastAsia="zh-CN"/>
              </w:rPr>
              <w:t>3</w:t>
            </w:r>
            <w:r>
              <w:rPr>
                <w:rFonts w:hint="default" w:ascii="Times New Roman" w:hAnsi="Times New Roman" w:cs="Times New Roman" w:eastAsiaTheme="minorEastAsia"/>
                <w:color w:val="auto"/>
                <w:sz w:val="21"/>
                <w:szCs w:val="21"/>
                <w:highlight w:val="none"/>
              </w:rPr>
              <w:t>%</w:t>
            </w:r>
          </w:p>
        </w:tc>
        <w:tc>
          <w:tcPr>
            <w:tcW w:w="16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030AFD85">
            <w:pPr>
              <w:pStyle w:val="29"/>
              <w:snapToGrid w:val="0"/>
              <w:spacing w:before="0" w:after="0" w:line="240" w:lineRule="auto"/>
              <w:jc w:val="center"/>
              <w:rPr>
                <w:rFonts w:ascii="Times New Roman" w:hAnsi="Times New Roman" w:eastAsia="宋体" w:cs="Times New Roman"/>
                <w:color w:val="auto"/>
                <w:sz w:val="21"/>
                <w:szCs w:val="21"/>
                <w:highlight w:val="none"/>
              </w:rPr>
            </w:pPr>
            <w:r>
              <w:rPr>
                <w:rFonts w:hint="default" w:ascii="Times New Roman" w:hAnsi="Times New Roman" w:cs="Times New Roman" w:eastAsiaTheme="minorEastAsia"/>
                <w:color w:val="auto"/>
                <w:sz w:val="21"/>
                <w:szCs w:val="21"/>
                <w:highlight w:val="none"/>
              </w:rPr>
              <w:t>100.00%</w:t>
            </w:r>
          </w:p>
        </w:tc>
        <w:tc>
          <w:tcPr>
            <w:tcW w:w="11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2DB9CDD">
            <w:pPr>
              <w:pStyle w:val="29"/>
              <w:snapToGrid w:val="0"/>
              <w:spacing w:before="0" w:after="0" w:line="240" w:lineRule="auto"/>
              <w:jc w:val="center"/>
              <w:rPr>
                <w:rFonts w:ascii="Times New Roman" w:hAnsi="Times New Roman" w:eastAsia="宋体" w:cs="Times New Roman"/>
                <w:color w:val="auto"/>
                <w:sz w:val="21"/>
                <w:szCs w:val="21"/>
                <w:highlight w:val="none"/>
              </w:rPr>
            </w:pPr>
            <w:r>
              <w:rPr>
                <w:rFonts w:hint="eastAsia" w:hAnsi="Times New Roman" w:cs="Times New Roman" w:eastAsiaTheme="minorEastAsia"/>
                <w:color w:val="auto"/>
                <w:sz w:val="21"/>
                <w:szCs w:val="21"/>
                <w:highlight w:val="none"/>
                <w:lang w:val="en-US" w:eastAsia="zh-CN"/>
              </w:rPr>
              <w:t xml:space="preserve">87.87 </w:t>
            </w:r>
            <w:r>
              <w:rPr>
                <w:rFonts w:hint="default" w:ascii="Times New Roman" w:hAnsi="Times New Roman" w:cs="Times New Roman" w:eastAsiaTheme="minorEastAsia"/>
                <w:color w:val="auto"/>
                <w:sz w:val="21"/>
                <w:szCs w:val="21"/>
                <w:highlight w:val="none"/>
              </w:rPr>
              <w:t>%</w:t>
            </w:r>
          </w:p>
        </w:tc>
      </w:tr>
    </w:tbl>
    <w:p w14:paraId="111CBFB0">
      <w:pPr>
        <w:pageBreakBefore w:val="0"/>
        <w:kinsoku/>
        <w:wordWrap/>
        <w:overflowPunct/>
        <w:topLinePunct w:val="0"/>
        <w:autoSpaceDE/>
        <w:autoSpaceDN/>
        <w:bidi w:val="0"/>
        <w:snapToGrid w:val="0"/>
        <w:spacing w:line="360" w:lineRule="auto"/>
        <w:ind w:firstLine="482"/>
        <w:rPr>
          <w:rFonts w:hint="default" w:ascii="Times New Roman" w:hAnsi="Times New Roman" w:cs="Times New Roman"/>
          <w:b/>
          <w:bCs/>
          <w:color w:val="auto"/>
          <w:sz w:val="21"/>
          <w:szCs w:val="21"/>
          <w:lang w:val="en-US" w:eastAsia="zh-CN"/>
        </w:rPr>
      </w:pPr>
    </w:p>
    <w:p w14:paraId="13F90668">
      <w:pPr>
        <w:pageBreakBefore w:val="0"/>
        <w:kinsoku/>
        <w:wordWrap/>
        <w:overflowPunct/>
        <w:topLinePunct w:val="0"/>
        <w:autoSpaceDE/>
        <w:autoSpaceDN/>
        <w:bidi w:val="0"/>
        <w:snapToGrid w:val="0"/>
        <w:spacing w:line="360" w:lineRule="auto"/>
        <w:ind w:firstLine="482"/>
        <w:rPr>
          <w:rFonts w:ascii="Times New Roman" w:hAnsi="Times New Roman" w:cs="Times New Roman"/>
          <w:color w:val="auto"/>
          <w:sz w:val="21"/>
          <w:szCs w:val="21"/>
        </w:rPr>
      </w:pPr>
      <w:r>
        <w:rPr>
          <w:rFonts w:hint="default" w:ascii="Times New Roman" w:hAnsi="Times New Roman" w:cs="Times New Roman"/>
          <w:b/>
          <w:bCs/>
          <w:color w:val="auto"/>
          <w:sz w:val="21"/>
          <w:szCs w:val="21"/>
          <w:lang w:val="en-US" w:eastAsia="zh-CN"/>
        </w:rPr>
        <w:t>三</w:t>
      </w:r>
      <w:r>
        <w:rPr>
          <w:rFonts w:ascii="Times New Roman" w:hAnsi="Times New Roman" w:cs="Times New Roman"/>
          <w:b/>
          <w:bCs/>
          <w:color w:val="auto"/>
          <w:sz w:val="21"/>
          <w:szCs w:val="21"/>
        </w:rPr>
        <w:t>、取得的业绩、存在的问题和改进的建议</w:t>
      </w:r>
    </w:p>
    <w:p w14:paraId="4E393853">
      <w:pPr>
        <w:pageBreakBefore w:val="0"/>
        <w:kinsoku/>
        <w:wordWrap/>
        <w:overflowPunct/>
        <w:topLinePunct w:val="0"/>
        <w:autoSpaceDE/>
        <w:autoSpaceDN/>
        <w:bidi w:val="0"/>
        <w:snapToGrid w:val="0"/>
        <w:spacing w:line="360" w:lineRule="auto"/>
        <w:ind w:firstLine="482"/>
        <w:rPr>
          <w:rFonts w:ascii="Times New Roman" w:hAnsi="Times New Roman" w:cs="Times New Roman"/>
          <w:b/>
          <w:bCs/>
          <w:color w:val="auto"/>
          <w:sz w:val="21"/>
          <w:szCs w:val="21"/>
        </w:rPr>
      </w:pPr>
      <w:r>
        <w:rPr>
          <w:rFonts w:ascii="Times New Roman" w:hAnsi="Times New Roman" w:cs="Times New Roman"/>
          <w:b/>
          <w:bCs/>
          <w:color w:val="auto"/>
          <w:sz w:val="21"/>
          <w:szCs w:val="21"/>
        </w:rPr>
        <w:t>（一）主要经验及做法</w:t>
      </w:r>
    </w:p>
    <w:p w14:paraId="2371F84B">
      <w:pPr>
        <w:pStyle w:val="16"/>
        <w:widowControl/>
        <w:spacing w:beforeAutospacing="0" w:afterAutospacing="0" w:line="360" w:lineRule="auto"/>
        <w:ind w:firstLine="420"/>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eastAsiaTheme="minorEastAsia"/>
          <w:color w:val="auto"/>
          <w:kern w:val="2"/>
          <w:sz w:val="21"/>
          <w:szCs w:val="21"/>
          <w:lang w:val="en-US" w:eastAsia="zh-CN" w:bidi="ar-SA"/>
        </w:rPr>
        <w:t>该项目在实施过程中，</w:t>
      </w:r>
      <w:r>
        <w:rPr>
          <w:rFonts w:hint="eastAsia" w:cs="Times New Roman"/>
          <w:color w:val="auto"/>
          <w:kern w:val="2"/>
          <w:sz w:val="21"/>
          <w:szCs w:val="21"/>
          <w:lang w:val="en-US" w:eastAsia="zh-CN" w:bidi="ar-SA"/>
        </w:rPr>
        <w:t>伊宁县</w:t>
      </w:r>
      <w:r>
        <w:rPr>
          <w:rFonts w:hint="default" w:ascii="Times New Roman" w:hAnsi="Times New Roman" w:cs="Times New Roman" w:eastAsiaTheme="minorEastAsia"/>
          <w:color w:val="auto"/>
          <w:kern w:val="2"/>
          <w:sz w:val="21"/>
          <w:szCs w:val="21"/>
          <w:lang w:val="en-US" w:eastAsia="zh-CN" w:bidi="ar-SA"/>
        </w:rPr>
        <w:t>民政局通过多途径精准识别保障对象，对受助孤儿学生信息进行动态管理，及时更新和调整资助对象，确保补助政策实施有效性；建立申请、审核、审批的规范流程，确保助学金的发放过程公开透明，资金管理使用安全有效；按学年标准发放助学金，确保孤儿学生得到稳定的经济支持。</w:t>
      </w:r>
    </w:p>
    <w:p w14:paraId="4D399A0A">
      <w:pPr>
        <w:pageBreakBefore w:val="0"/>
        <w:kinsoku/>
        <w:wordWrap/>
        <w:overflowPunct/>
        <w:topLinePunct w:val="0"/>
        <w:autoSpaceDE/>
        <w:autoSpaceDN/>
        <w:bidi w:val="0"/>
        <w:snapToGrid w:val="0"/>
        <w:spacing w:line="360" w:lineRule="auto"/>
        <w:ind w:firstLine="482"/>
        <w:rPr>
          <w:rFonts w:ascii="Times New Roman" w:hAnsi="Times New Roman" w:cs="Times New Roman"/>
          <w:b/>
          <w:bCs/>
          <w:color w:val="auto"/>
          <w:sz w:val="21"/>
          <w:szCs w:val="21"/>
        </w:rPr>
      </w:pPr>
      <w:r>
        <w:rPr>
          <w:rFonts w:ascii="Times New Roman" w:hAnsi="Times New Roman" w:cs="Times New Roman"/>
          <w:b/>
          <w:bCs/>
          <w:color w:val="auto"/>
          <w:sz w:val="21"/>
          <w:szCs w:val="21"/>
        </w:rPr>
        <w:t>（二）存在的问题</w:t>
      </w:r>
    </w:p>
    <w:p w14:paraId="5744EDC3">
      <w:pPr>
        <w:spacing w:line="360" w:lineRule="auto"/>
        <w:ind w:firstLine="420"/>
        <w:rPr>
          <w:rFonts w:hint="default" w:ascii="Times New Roman" w:hAnsi="Times New Roman" w:cs="Times New Roman" w:eastAsiaTheme="minorEastAsia"/>
          <w:b/>
          <w:bCs/>
          <w:color w:val="auto"/>
          <w:kern w:val="2"/>
          <w:sz w:val="21"/>
          <w:szCs w:val="21"/>
          <w:highlight w:val="none"/>
          <w:lang w:val="en-US" w:eastAsia="zh-CN" w:bidi="ar-SA"/>
        </w:rPr>
      </w:pPr>
      <w:r>
        <w:rPr>
          <w:rFonts w:hint="default" w:ascii="Times New Roman" w:hAnsi="Times New Roman" w:cs="Times New Roman" w:eastAsiaTheme="minorEastAsia"/>
          <w:b/>
          <w:bCs/>
          <w:color w:val="auto"/>
          <w:kern w:val="2"/>
          <w:sz w:val="21"/>
          <w:szCs w:val="21"/>
          <w:highlight w:val="none"/>
          <w:lang w:val="en-US" w:eastAsia="zh-CN" w:bidi="ar-SA"/>
        </w:rPr>
        <w:t>1.资金支付程序</w:t>
      </w:r>
      <w:r>
        <w:rPr>
          <w:rFonts w:hint="eastAsia" w:cs="Times New Roman"/>
          <w:b/>
          <w:bCs/>
          <w:color w:val="auto"/>
          <w:kern w:val="2"/>
          <w:sz w:val="21"/>
          <w:szCs w:val="21"/>
          <w:highlight w:val="none"/>
          <w:lang w:val="en-US" w:eastAsia="zh-CN" w:bidi="ar-SA"/>
        </w:rPr>
        <w:t>提供</w:t>
      </w:r>
      <w:r>
        <w:rPr>
          <w:rFonts w:hint="default" w:ascii="Times New Roman" w:hAnsi="Times New Roman" w:cs="Times New Roman" w:eastAsiaTheme="minorEastAsia"/>
          <w:b/>
          <w:bCs/>
          <w:color w:val="auto"/>
          <w:kern w:val="2"/>
          <w:sz w:val="21"/>
          <w:szCs w:val="21"/>
          <w:highlight w:val="none"/>
          <w:lang w:val="en-US" w:eastAsia="zh-CN" w:bidi="ar-SA"/>
        </w:rPr>
        <w:t>不</w:t>
      </w:r>
      <w:r>
        <w:rPr>
          <w:rFonts w:hint="eastAsia" w:cs="Times New Roman"/>
          <w:b/>
          <w:bCs/>
          <w:color w:val="auto"/>
          <w:kern w:val="2"/>
          <w:sz w:val="21"/>
          <w:szCs w:val="21"/>
          <w:highlight w:val="none"/>
          <w:lang w:val="en-US" w:eastAsia="zh-CN" w:bidi="ar-SA"/>
        </w:rPr>
        <w:t>完整</w:t>
      </w:r>
    </w:p>
    <w:p w14:paraId="652DC7A0">
      <w:pPr>
        <w:spacing w:line="360" w:lineRule="auto"/>
        <w:ind w:firstLine="420"/>
        <w:rPr>
          <w:rFonts w:hint="default" w:cs="Times New Roman"/>
          <w:color w:val="auto"/>
          <w:highlight w:val="none"/>
          <w:lang w:val="en-US" w:eastAsia="zh-CN"/>
        </w:rPr>
      </w:pPr>
      <w:r>
        <w:rPr>
          <w:rFonts w:hint="eastAsia" w:cs="Times New Roman"/>
          <w:color w:val="auto"/>
          <w:lang w:val="en-US" w:eastAsia="zh-CN"/>
        </w:rPr>
        <w:t>经查阅项目实施单位提供的财务支出凭证</w:t>
      </w:r>
      <w:r>
        <w:rPr>
          <w:rFonts w:hint="default" w:ascii="Times New Roman" w:hAnsi="Times New Roman" w:cs="Times New Roman"/>
          <w:color w:val="auto"/>
          <w:lang w:val="zh-TW" w:eastAsia="zh-CN"/>
        </w:rPr>
        <w:t>，</w:t>
      </w:r>
      <w:r>
        <w:rPr>
          <w:rFonts w:hint="eastAsia" w:cs="Times New Roman"/>
          <w:color w:val="auto"/>
          <w:lang w:val="en-US" w:eastAsia="zh-CN"/>
        </w:rPr>
        <w:t>未见按照</w:t>
      </w:r>
      <w:r>
        <w:rPr>
          <w:rFonts w:hint="default" w:ascii="Times New Roman" w:hAnsi="Times New Roman" w:cs="Times New Roman"/>
          <w:color w:val="auto"/>
          <w:lang w:val="zh-TW" w:eastAsia="zh-CN"/>
        </w:rPr>
        <w:t>《</w:t>
      </w:r>
      <w:r>
        <w:rPr>
          <w:rFonts w:hint="eastAsia" w:cs="Times New Roman"/>
          <w:color w:val="auto"/>
          <w:lang w:val="en-US" w:eastAsia="zh-CN"/>
        </w:rPr>
        <w:t>伊宁县民政局财务管理制度</w:t>
      </w:r>
      <w:r>
        <w:rPr>
          <w:rFonts w:hint="default" w:ascii="Times New Roman" w:hAnsi="Times New Roman" w:cs="Times New Roman"/>
          <w:color w:val="auto"/>
          <w:lang w:val="zh-TW" w:eastAsia="zh-CN"/>
        </w:rPr>
        <w:t>》</w:t>
      </w:r>
      <w:r>
        <w:rPr>
          <w:rFonts w:hint="eastAsia" w:ascii="Times New Roman" w:hAnsi="Times New Roman" w:cs="Times New Roman"/>
          <w:color w:val="auto"/>
          <w:lang w:val="en-US" w:eastAsia="zh-CN"/>
        </w:rPr>
        <w:t>要求：“</w:t>
      </w:r>
      <w:r>
        <w:rPr>
          <w:rFonts w:hint="eastAsia" w:cs="Times New Roman"/>
          <w:color w:val="auto"/>
          <w:lang w:val="en-US" w:eastAsia="zh-CN"/>
        </w:rPr>
        <w:t>单项或整体开支3,000.00元以上（含3,000.00元），须经局党组领导开会研究决定后报账。</w:t>
      </w:r>
      <w:r>
        <w:rPr>
          <w:rFonts w:hint="eastAsia" w:ascii="Times New Roman" w:hAnsi="Times New Roman" w:cs="Times New Roman"/>
          <w:color w:val="auto"/>
          <w:lang w:val="en-US" w:eastAsia="zh-CN"/>
        </w:rPr>
        <w:t>”</w:t>
      </w:r>
      <w:r>
        <w:rPr>
          <w:rFonts w:hint="default" w:ascii="Times New Roman" w:hAnsi="Times New Roman" w:cs="Times New Roman"/>
          <w:color w:val="auto"/>
          <w:lang w:val="en-US" w:eastAsia="zh-CN"/>
        </w:rPr>
        <w:t>要求</w:t>
      </w:r>
      <w:r>
        <w:rPr>
          <w:rFonts w:hint="eastAsia" w:cs="Times New Roman"/>
          <w:color w:val="auto"/>
          <w:highlight w:val="none"/>
          <w:lang w:val="en-US" w:eastAsia="zh-CN"/>
        </w:rPr>
        <w:t>提供</w:t>
      </w:r>
      <w:r>
        <w:rPr>
          <w:rFonts w:hint="eastAsia" w:cs="Times New Roman"/>
          <w:color w:val="auto"/>
          <w:lang w:val="en-US" w:eastAsia="zh-CN"/>
        </w:rPr>
        <w:t>局党组关于</w:t>
      </w:r>
      <w:r>
        <w:rPr>
          <w:rFonts w:hint="eastAsia" w:cs="Times New Roman"/>
          <w:color w:val="auto"/>
          <w:highlight w:val="none"/>
          <w:lang w:val="en-US" w:eastAsia="zh-CN"/>
        </w:rPr>
        <w:t>重大支出的集体决策</w:t>
      </w:r>
      <w:r>
        <w:rPr>
          <w:rFonts w:hint="eastAsia" w:cs="Times New Roman"/>
          <w:color w:val="auto"/>
          <w:lang w:val="en-US" w:eastAsia="zh-CN"/>
        </w:rPr>
        <w:t>会议纪要</w:t>
      </w:r>
      <w:r>
        <w:rPr>
          <w:rFonts w:hint="eastAsia" w:cs="Times New Roman"/>
          <w:color w:val="auto"/>
          <w:highlight w:val="none"/>
          <w:lang w:val="en-US" w:eastAsia="zh-CN"/>
        </w:rPr>
        <w:t>。</w:t>
      </w:r>
    </w:p>
    <w:p w14:paraId="4689F08B">
      <w:pPr>
        <w:spacing w:line="360" w:lineRule="auto"/>
        <w:ind w:firstLine="420"/>
        <w:rPr>
          <w:rFonts w:hint="default" w:ascii="Times New Roman" w:hAnsi="Times New Roman" w:cs="Times New Roman" w:eastAsiaTheme="minorEastAsia"/>
          <w:b/>
          <w:bCs/>
          <w:color w:val="auto"/>
          <w:kern w:val="2"/>
          <w:sz w:val="21"/>
          <w:szCs w:val="21"/>
          <w:highlight w:val="none"/>
          <w:lang w:val="en-US" w:eastAsia="zh-CN" w:bidi="ar-SA"/>
        </w:rPr>
      </w:pPr>
      <w:r>
        <w:rPr>
          <w:rFonts w:hint="default" w:ascii="Times New Roman" w:hAnsi="Times New Roman" w:cs="Times New Roman" w:eastAsiaTheme="minorEastAsia"/>
          <w:b/>
          <w:bCs/>
          <w:color w:val="auto"/>
          <w:kern w:val="2"/>
          <w:sz w:val="21"/>
          <w:szCs w:val="21"/>
          <w:highlight w:val="none"/>
          <w:lang w:val="en-US" w:eastAsia="zh-CN" w:bidi="ar-SA"/>
        </w:rPr>
        <w:t>2.</w:t>
      </w:r>
      <w:r>
        <w:rPr>
          <w:rFonts w:hint="eastAsia" w:cs="Times New Roman"/>
          <w:b/>
          <w:bCs/>
          <w:color w:val="auto"/>
          <w:kern w:val="2"/>
          <w:sz w:val="21"/>
          <w:szCs w:val="21"/>
          <w:highlight w:val="none"/>
          <w:lang w:val="en-US" w:eastAsia="zh-CN" w:bidi="ar-SA"/>
        </w:rPr>
        <w:t>项目</w:t>
      </w:r>
      <w:r>
        <w:rPr>
          <w:rFonts w:hint="default" w:ascii="Times New Roman" w:hAnsi="Times New Roman" w:cs="Times New Roman" w:eastAsiaTheme="minorEastAsia"/>
          <w:b/>
          <w:bCs/>
          <w:color w:val="auto"/>
          <w:kern w:val="2"/>
          <w:sz w:val="21"/>
          <w:szCs w:val="21"/>
          <w:highlight w:val="none"/>
          <w:lang w:val="en-US" w:eastAsia="zh-CN" w:bidi="ar-SA"/>
        </w:rPr>
        <w:t>助学金发放不及时</w:t>
      </w:r>
    </w:p>
    <w:p w14:paraId="4FAD64EA">
      <w:pPr>
        <w:pageBreakBefore w:val="0"/>
        <w:kinsoku/>
        <w:wordWrap/>
        <w:overflowPunct/>
        <w:topLinePunct w:val="0"/>
        <w:autoSpaceDE/>
        <w:autoSpaceDN/>
        <w:bidi w:val="0"/>
        <w:snapToGrid w:val="0"/>
        <w:spacing w:line="360" w:lineRule="auto"/>
        <w:ind w:firstLine="420" w:firstLineChars="0"/>
        <w:jc w:val="left"/>
        <w:rPr>
          <w:rFonts w:hint="default"/>
          <w:b w:val="0"/>
          <w:bCs w:val="0"/>
          <w:color w:val="auto"/>
          <w:lang w:val="en-US" w:eastAsia="zh-CN"/>
        </w:rPr>
      </w:pPr>
      <w:r>
        <w:rPr>
          <w:rFonts w:hint="default" w:ascii="Times New Roman" w:hAnsi="Times New Roman" w:cs="Times New Roman"/>
          <w:color w:val="auto"/>
          <w:lang w:val="en-US" w:eastAsia="zh-CN"/>
        </w:rPr>
        <w:t>经查看</w:t>
      </w:r>
      <w:r>
        <w:rPr>
          <w:rFonts w:hint="eastAsia" w:cs="Times New Roman"/>
          <w:color w:val="auto"/>
          <w:lang w:val="en-US" w:eastAsia="zh-CN"/>
        </w:rPr>
        <w:t>孤儿助学金发放明细及财务支出凭证可知，</w:t>
      </w:r>
      <w:r>
        <w:rPr>
          <w:rFonts w:hint="default" w:ascii="Times New Roman" w:hAnsi="Times New Roman" w:cs="Times New Roman"/>
          <w:color w:val="auto"/>
          <w:lang w:val="en-US" w:eastAsia="zh-CN"/>
        </w:rPr>
        <w:t>项目</w:t>
      </w:r>
      <w:r>
        <w:rPr>
          <w:rFonts w:hint="eastAsia" w:cs="Times New Roman"/>
          <w:color w:val="auto"/>
          <w:lang w:val="en-US" w:eastAsia="zh-CN"/>
        </w:rPr>
        <w:t>2024年度第一、二季度共计发放</w:t>
      </w:r>
      <w:r>
        <w:rPr>
          <w:rFonts w:hint="eastAsia" w:ascii="Times New Roman" w:hAnsi="Times New Roman" w:cs="Times New Roman"/>
          <w:color w:val="auto"/>
          <w:lang w:val="en-US" w:eastAsia="zh-CN"/>
        </w:rPr>
        <w:t>补助</w:t>
      </w:r>
      <w:r>
        <w:rPr>
          <w:rFonts w:hint="default" w:ascii="Times New Roman" w:hAnsi="Times New Roman" w:cs="Times New Roman"/>
          <w:color w:val="auto"/>
          <w:lang w:val="en-US" w:eastAsia="zh-CN"/>
        </w:rPr>
        <w:t>资金</w:t>
      </w:r>
      <w:r>
        <w:rPr>
          <w:rFonts w:hint="eastAsia" w:cs="Times New Roman"/>
          <w:color w:val="auto"/>
          <w:lang w:val="en-US" w:eastAsia="zh-CN"/>
        </w:rPr>
        <w:t>10.00万元，其中：第一季度应发13名孤儿的助学金3.25万元实际于2024年5月发放，第二季度应发13名孤儿的助学金3.25万元实际于2024年7月发放，第一、第二季度应发7名孤儿的助学金3.50万元实际于2024年8月一次性补发，均与</w:t>
      </w:r>
      <w:r>
        <w:rPr>
          <w:rFonts w:hint="default" w:ascii="Times New Roman" w:hAnsi="Times New Roman" w:cs="Times New Roman"/>
          <w:color w:val="auto"/>
          <w:lang w:val="zh-TW" w:eastAsia="zh-CN"/>
        </w:rPr>
        <w:t>《“福彩圆梦·孤儿助学工程”项目实施暂行办法》（民办发〔2019〕24号）</w:t>
      </w:r>
      <w:r>
        <w:rPr>
          <w:rFonts w:hint="eastAsia" w:cs="Times New Roman"/>
          <w:color w:val="auto"/>
          <w:lang w:val="en-US" w:eastAsia="zh-CN"/>
        </w:rPr>
        <w:t>关于</w:t>
      </w:r>
      <w:r>
        <w:rPr>
          <w:rFonts w:hint="default" w:ascii="Times New Roman" w:hAnsi="Times New Roman" w:cs="Times New Roman"/>
          <w:color w:val="auto"/>
          <w:lang w:val="zh-TW" w:eastAsia="zh-CN"/>
        </w:rPr>
        <w:t>“孤儿助学金</w:t>
      </w:r>
      <w:r>
        <w:rPr>
          <w:rFonts w:hint="default" w:cs="Times New Roman"/>
          <w:color w:val="auto"/>
          <w:lang w:val="zh-TW" w:eastAsia="zh-CN"/>
        </w:rPr>
        <w:t>按月或按季度</w:t>
      </w:r>
      <w:r>
        <w:rPr>
          <w:rFonts w:hint="default" w:ascii="Times New Roman" w:hAnsi="Times New Roman" w:cs="Times New Roman"/>
          <w:color w:val="auto"/>
          <w:lang w:val="zh-TW" w:eastAsia="zh-CN"/>
        </w:rPr>
        <w:t>补助”</w:t>
      </w:r>
      <w:r>
        <w:rPr>
          <w:rFonts w:hint="eastAsia" w:cs="Times New Roman"/>
          <w:color w:val="auto"/>
          <w:lang w:val="zh-TW" w:eastAsia="zh-CN"/>
        </w:rPr>
        <w:t>的</w:t>
      </w:r>
      <w:r>
        <w:rPr>
          <w:rFonts w:hint="default" w:ascii="Times New Roman" w:hAnsi="Times New Roman" w:cs="Times New Roman"/>
          <w:color w:val="auto"/>
          <w:lang w:val="en-US" w:eastAsia="zh-CN"/>
        </w:rPr>
        <w:t>要求</w:t>
      </w:r>
      <w:r>
        <w:rPr>
          <w:rFonts w:hint="eastAsia" w:cs="Times New Roman"/>
          <w:color w:val="auto"/>
          <w:lang w:val="en-US" w:eastAsia="zh-CN"/>
        </w:rPr>
        <w:t>不相符</w:t>
      </w:r>
      <w:r>
        <w:rPr>
          <w:rFonts w:hint="default" w:ascii="Times New Roman" w:hAnsi="Times New Roman" w:cs="Times New Roman"/>
          <w:color w:val="auto"/>
          <w:lang w:val="en-US" w:eastAsia="zh-CN"/>
        </w:rPr>
        <w:t>，</w:t>
      </w:r>
      <w:r>
        <w:rPr>
          <w:rFonts w:hint="eastAsia" w:cs="Times New Roman"/>
          <w:color w:val="auto"/>
          <w:lang w:val="en-US" w:eastAsia="zh-CN"/>
        </w:rPr>
        <w:t>具体发放明细表详见基础表3：伊宁县“福彩圆梦 孤儿助学工程”资金发放明细表</w:t>
      </w:r>
      <w:r>
        <w:rPr>
          <w:rFonts w:hint="eastAsia"/>
          <w:b w:val="0"/>
          <w:bCs w:val="0"/>
          <w:color w:val="auto"/>
          <w:lang w:val="en-US" w:eastAsia="zh-CN"/>
        </w:rPr>
        <w:t>。</w:t>
      </w:r>
    </w:p>
    <w:p w14:paraId="51643A24">
      <w:pPr>
        <w:numPr>
          <w:ilvl w:val="0"/>
          <w:numId w:val="0"/>
        </w:numPr>
        <w:spacing w:line="360" w:lineRule="auto"/>
        <w:ind w:firstLine="420"/>
        <w:rPr>
          <w:rFonts w:hint="default" w:ascii="Times New Roman" w:hAnsi="Times New Roman" w:cs="Times New Roman" w:eastAsiaTheme="minorEastAsia"/>
          <w:b/>
          <w:bCs/>
          <w:color w:val="auto"/>
          <w:kern w:val="2"/>
          <w:sz w:val="21"/>
          <w:szCs w:val="21"/>
          <w:highlight w:val="none"/>
          <w:lang w:val="en-US" w:eastAsia="zh-CN" w:bidi="ar-SA"/>
        </w:rPr>
      </w:pPr>
      <w:r>
        <w:rPr>
          <w:rFonts w:hint="eastAsia" w:cs="Times New Roman"/>
          <w:b/>
          <w:bCs/>
          <w:color w:val="auto"/>
          <w:kern w:val="2"/>
          <w:sz w:val="21"/>
          <w:szCs w:val="21"/>
          <w:highlight w:val="none"/>
          <w:lang w:val="en-US" w:eastAsia="zh-CN" w:bidi="ar-SA"/>
        </w:rPr>
        <w:t>3</w:t>
      </w:r>
      <w:r>
        <w:rPr>
          <w:rFonts w:hint="default" w:ascii="Times New Roman" w:hAnsi="Times New Roman" w:cs="Times New Roman" w:eastAsiaTheme="minorEastAsia"/>
          <w:b/>
          <w:bCs/>
          <w:color w:val="auto"/>
          <w:kern w:val="2"/>
          <w:sz w:val="21"/>
          <w:szCs w:val="21"/>
          <w:highlight w:val="none"/>
          <w:lang w:val="en-US" w:eastAsia="zh-CN" w:bidi="ar-SA"/>
        </w:rPr>
        <w:t>. </w:t>
      </w:r>
      <w:r>
        <w:rPr>
          <w:rFonts w:hint="eastAsia" w:cs="Times New Roman"/>
          <w:b/>
          <w:bCs/>
          <w:color w:val="auto"/>
          <w:kern w:val="2"/>
          <w:sz w:val="21"/>
          <w:szCs w:val="21"/>
          <w:highlight w:val="none"/>
          <w:lang w:val="en-US" w:eastAsia="zh-CN" w:bidi="ar-SA"/>
        </w:rPr>
        <w:t>助学金发放</w:t>
      </w:r>
      <w:r>
        <w:rPr>
          <w:rFonts w:hint="default" w:ascii="Times New Roman" w:hAnsi="Times New Roman" w:cs="Times New Roman" w:eastAsiaTheme="minorEastAsia"/>
          <w:b/>
          <w:bCs/>
          <w:color w:val="auto"/>
          <w:kern w:val="2"/>
          <w:sz w:val="21"/>
          <w:szCs w:val="21"/>
          <w:highlight w:val="none"/>
          <w:lang w:val="en-US" w:eastAsia="zh-CN" w:bidi="ar-SA"/>
        </w:rPr>
        <w:t>未</w:t>
      </w:r>
      <w:r>
        <w:rPr>
          <w:rFonts w:hint="eastAsia" w:cs="Times New Roman"/>
          <w:b/>
          <w:bCs/>
          <w:color w:val="auto"/>
          <w:kern w:val="2"/>
          <w:sz w:val="21"/>
          <w:szCs w:val="21"/>
          <w:highlight w:val="none"/>
          <w:lang w:val="en-US" w:eastAsia="zh-CN" w:bidi="ar-SA"/>
        </w:rPr>
        <w:t>按照政策</w:t>
      </w:r>
      <w:r>
        <w:rPr>
          <w:rFonts w:hint="eastAsia" w:cs="Times New Roman"/>
          <w:b/>
          <w:bCs/>
          <w:color w:val="auto"/>
          <w:highlight w:val="none"/>
          <w:lang w:val="en-US" w:eastAsia="zh-CN"/>
        </w:rPr>
        <w:t>要求</w:t>
      </w:r>
      <w:r>
        <w:rPr>
          <w:rFonts w:hint="eastAsia" w:cs="Times New Roman"/>
          <w:b/>
          <w:bCs/>
          <w:color w:val="auto"/>
          <w:kern w:val="2"/>
          <w:sz w:val="21"/>
          <w:szCs w:val="21"/>
          <w:highlight w:val="none"/>
          <w:lang w:val="en-US" w:eastAsia="zh-CN" w:bidi="ar-SA"/>
        </w:rPr>
        <w:t>及时</w:t>
      </w:r>
      <w:r>
        <w:rPr>
          <w:rFonts w:hint="default" w:ascii="Times New Roman" w:hAnsi="Times New Roman" w:cs="Times New Roman" w:eastAsiaTheme="minorEastAsia"/>
          <w:b/>
          <w:bCs/>
          <w:color w:val="auto"/>
          <w:kern w:val="2"/>
          <w:sz w:val="21"/>
          <w:szCs w:val="21"/>
          <w:highlight w:val="none"/>
          <w:lang w:val="en-US" w:eastAsia="zh-CN" w:bidi="ar-SA"/>
        </w:rPr>
        <w:t>公示</w:t>
      </w:r>
      <w:r>
        <w:rPr>
          <w:rFonts w:hint="eastAsia"/>
          <w:lang w:eastAsia="zh-CN"/>
        </w:rPr>
        <w:t>，</w:t>
      </w:r>
      <w:r>
        <w:rPr>
          <w:rFonts w:hint="eastAsia"/>
          <w:b/>
          <w:bCs/>
          <w:lang w:val="en-US" w:eastAsia="zh-CN"/>
        </w:rPr>
        <w:t>公开内容不完整</w:t>
      </w:r>
    </w:p>
    <w:p w14:paraId="6BEB9D96">
      <w:pPr>
        <w:pageBreakBefore w:val="0"/>
        <w:kinsoku/>
        <w:wordWrap/>
        <w:overflowPunct/>
        <w:topLinePunct w:val="0"/>
        <w:autoSpaceDE/>
        <w:autoSpaceDN/>
        <w:bidi w:val="0"/>
        <w:snapToGrid w:val="0"/>
        <w:spacing w:line="360" w:lineRule="auto"/>
        <w:ind w:firstLine="422"/>
        <w:rPr>
          <w:rFonts w:hint="eastAsia" w:cs="Times New Roman"/>
          <w:color w:val="auto"/>
          <w:lang w:val="en-US" w:eastAsia="zh-CN"/>
        </w:rPr>
      </w:pPr>
      <w:r>
        <w:rPr>
          <w:rFonts w:hint="eastAsia"/>
          <w:lang w:val="en-US" w:eastAsia="zh-CN"/>
        </w:rPr>
        <w:t>经查看项目实施单位提供的《2024年度“福彩·圆梦”助学金发放公示》资料，未体现具体的公示地点、公示形式以及公示的时间段</w:t>
      </w:r>
      <w:r>
        <w:rPr>
          <w:rFonts w:hint="default" w:ascii="Times New Roman" w:hAnsi="Times New Roman" w:cs="Times New Roman"/>
          <w:color w:val="auto"/>
          <w:lang w:val="zh-TW" w:eastAsia="zh-CN"/>
        </w:rPr>
        <w:t>。</w:t>
      </w:r>
      <w:r>
        <w:rPr>
          <w:rFonts w:hint="default" w:ascii="Times New Roman" w:hAnsi="Times New Roman" w:cs="Times New Roman"/>
          <w:color w:val="auto"/>
          <w:lang w:val="en-US" w:eastAsia="zh-CN"/>
        </w:rPr>
        <w:t>经查看</w:t>
      </w:r>
      <w:r>
        <w:rPr>
          <w:rFonts w:hint="default" w:ascii="Times New Roman" w:hAnsi="Times New Roman" w:cs="Times New Roman"/>
          <w:color w:val="auto"/>
          <w:lang w:val="zh-TW" w:eastAsia="zh-CN"/>
        </w:rPr>
        <w:t>伊宁县人民政府网站</w:t>
      </w:r>
      <w:r>
        <w:rPr>
          <w:rFonts w:hint="eastAsia" w:cs="Times New Roman"/>
          <w:color w:val="auto"/>
          <w:lang w:val="zh-TW" w:eastAsia="zh-CN"/>
        </w:rPr>
        <w:t>，</w:t>
      </w:r>
      <w:r>
        <w:rPr>
          <w:rFonts w:hint="default" w:ascii="Times New Roman" w:hAnsi="Times New Roman" w:cs="Times New Roman"/>
          <w:color w:val="auto"/>
          <w:lang w:val="en-US" w:eastAsia="zh-CN"/>
        </w:rPr>
        <w:t>未查询到</w:t>
      </w:r>
      <w:r>
        <w:rPr>
          <w:rFonts w:hint="eastAsia" w:cs="Times New Roman"/>
          <w:color w:val="auto"/>
          <w:lang w:val="en-US" w:eastAsia="zh-CN"/>
        </w:rPr>
        <w:t>项目实施单位按照《中央专项彩票公益金支持地方社会公益事业发展资金管理办法》（财综〔2022〕43号）文件要求 “项目主管部门应当于每年6月底前，向社会公告上年度具体项目的资金规模、支出内容、执行情况和实际效果等，接受社会监督。”对补助资金使用情况及时宣传公告。</w:t>
      </w:r>
    </w:p>
    <w:p w14:paraId="24D15775">
      <w:pPr>
        <w:pageBreakBefore w:val="0"/>
        <w:kinsoku/>
        <w:wordWrap/>
        <w:overflowPunct/>
        <w:topLinePunct w:val="0"/>
        <w:autoSpaceDE/>
        <w:autoSpaceDN/>
        <w:bidi w:val="0"/>
        <w:snapToGrid w:val="0"/>
        <w:spacing w:line="360" w:lineRule="auto"/>
        <w:ind w:firstLine="482"/>
        <w:rPr>
          <w:rFonts w:ascii="Times New Roman" w:hAnsi="Times New Roman" w:cs="Times New Roman"/>
          <w:b/>
          <w:bCs/>
          <w:color w:val="auto"/>
          <w:sz w:val="21"/>
          <w:szCs w:val="21"/>
        </w:rPr>
      </w:pPr>
      <w:r>
        <w:rPr>
          <w:rFonts w:ascii="Times New Roman" w:hAnsi="Times New Roman" w:cs="Times New Roman"/>
          <w:b/>
          <w:bCs/>
          <w:color w:val="auto"/>
          <w:sz w:val="21"/>
          <w:szCs w:val="21"/>
        </w:rPr>
        <w:t>（三）有关建议</w:t>
      </w:r>
    </w:p>
    <w:p w14:paraId="1BFD0E11">
      <w:pPr>
        <w:pStyle w:val="5"/>
        <w:spacing w:line="360" w:lineRule="auto"/>
        <w:rPr>
          <w:rFonts w:hint="default"/>
          <w:sz w:val="21"/>
          <w:szCs w:val="21"/>
          <w:lang w:val="en-US" w:eastAsia="zh-CN"/>
        </w:rPr>
      </w:pPr>
      <w:bookmarkStart w:id="10" w:name="_Toc30482"/>
      <w:r>
        <w:rPr>
          <w:rFonts w:hint="eastAsia"/>
          <w:sz w:val="21"/>
          <w:szCs w:val="21"/>
          <w:lang w:val="en-US" w:eastAsia="zh-CN"/>
        </w:rPr>
        <w:t>1.完善项目</w:t>
      </w:r>
      <w:r>
        <w:rPr>
          <w:rFonts w:hint="default"/>
          <w:sz w:val="21"/>
          <w:szCs w:val="21"/>
          <w:lang w:val="en-US" w:eastAsia="zh-CN"/>
        </w:rPr>
        <w:t>资金</w:t>
      </w:r>
      <w:r>
        <w:rPr>
          <w:rFonts w:hint="eastAsia"/>
          <w:sz w:val="21"/>
          <w:szCs w:val="21"/>
          <w:lang w:val="en-US" w:eastAsia="zh-CN"/>
        </w:rPr>
        <w:t>支出审批程序</w:t>
      </w:r>
      <w:r>
        <w:rPr>
          <w:rFonts w:hint="default"/>
          <w:sz w:val="21"/>
          <w:szCs w:val="21"/>
          <w:lang w:val="en-US" w:eastAsia="zh-CN"/>
        </w:rPr>
        <w:t>，确保资金管理使用规范</w:t>
      </w:r>
      <w:bookmarkEnd w:id="10"/>
    </w:p>
    <w:p w14:paraId="6917B0EA">
      <w:pPr>
        <w:numPr>
          <w:ilvl w:val="-1"/>
          <w:numId w:val="0"/>
        </w:numPr>
        <w:spacing w:line="360" w:lineRule="auto"/>
        <w:ind w:firstLine="420"/>
        <w:rPr>
          <w:rFonts w:hint="default" w:ascii="Times New Roman" w:hAnsi="Times New Roman" w:cs="Times New Roman"/>
          <w:b w:val="0"/>
          <w:bCs w:val="0"/>
          <w:color w:val="auto"/>
          <w:kern w:val="2"/>
          <w:sz w:val="21"/>
          <w:szCs w:val="21"/>
          <w:highlight w:val="none"/>
          <w:lang w:val="en-US" w:eastAsia="zh-CN" w:bidi="ar-SA"/>
        </w:rPr>
      </w:pPr>
      <w:r>
        <w:rPr>
          <w:rFonts w:hint="eastAsia" w:asciiTheme="minorEastAsia" w:hAnsiTheme="minorEastAsia" w:cstheme="minorEastAsia"/>
          <w:color w:val="auto"/>
          <w:highlight w:val="none"/>
          <w:lang w:val="en-US" w:eastAsia="zh-CN"/>
        </w:rPr>
        <w:t>建议项目实施单位严格落实</w:t>
      </w:r>
      <w:r>
        <w:rPr>
          <w:rFonts w:hint="default" w:ascii="Times New Roman" w:hAnsi="Times New Roman" w:cs="Times New Roman"/>
          <w:color w:val="auto"/>
          <w:lang w:val="zh-TW" w:eastAsia="zh-CN"/>
        </w:rPr>
        <w:t>《</w:t>
      </w:r>
      <w:r>
        <w:rPr>
          <w:rFonts w:hint="eastAsia" w:cs="Times New Roman"/>
          <w:color w:val="auto"/>
          <w:lang w:val="en-US" w:eastAsia="zh-CN"/>
        </w:rPr>
        <w:t>伊宁县民政局财务管理制度</w:t>
      </w:r>
      <w:r>
        <w:rPr>
          <w:rFonts w:hint="default" w:ascii="Times New Roman" w:hAnsi="Times New Roman" w:cs="Times New Roman"/>
          <w:color w:val="auto"/>
          <w:lang w:val="zh-TW" w:eastAsia="zh-CN"/>
        </w:rPr>
        <w:t>》</w:t>
      </w:r>
      <w:r>
        <w:rPr>
          <w:rFonts w:hint="eastAsia" w:cs="Times New Roman"/>
          <w:color w:val="auto"/>
          <w:lang w:val="zh-TW" w:eastAsia="zh-CN"/>
        </w:rPr>
        <w:t>的</w:t>
      </w:r>
      <w:r>
        <w:rPr>
          <w:rFonts w:hint="eastAsia" w:cs="Times New Roman"/>
          <w:color w:val="auto"/>
          <w:lang w:val="en-US" w:eastAsia="zh-CN"/>
        </w:rPr>
        <w:t>管理规定，</w:t>
      </w:r>
      <w:r>
        <w:rPr>
          <w:rFonts w:hint="eastAsia" w:cs="Times New Roman"/>
          <w:color w:val="auto"/>
          <w:kern w:val="2"/>
          <w:sz w:val="21"/>
          <w:szCs w:val="21"/>
          <w:highlight w:val="none"/>
          <w:lang w:val="en-US" w:eastAsia="zh-CN" w:bidi="ar-SA"/>
        </w:rPr>
        <w:t>严格按照</w:t>
      </w:r>
      <w:r>
        <w:rPr>
          <w:rFonts w:hint="default" w:ascii="Times New Roman" w:hAnsi="Times New Roman" w:cs="Times New Roman" w:eastAsiaTheme="minorEastAsia"/>
          <w:color w:val="auto"/>
          <w:kern w:val="2"/>
          <w:sz w:val="21"/>
          <w:szCs w:val="21"/>
          <w:highlight w:val="none"/>
          <w:lang w:val="en-US" w:eastAsia="zh-CN" w:bidi="ar-SA"/>
        </w:rPr>
        <w:t>大额资金支付或重要项目资金支付等事项</w:t>
      </w:r>
      <w:r>
        <w:rPr>
          <w:rFonts w:hint="eastAsia" w:cs="Times New Roman"/>
          <w:color w:val="auto"/>
          <w:kern w:val="2"/>
          <w:sz w:val="21"/>
          <w:szCs w:val="21"/>
          <w:highlight w:val="none"/>
          <w:lang w:val="en-US" w:eastAsia="zh-CN" w:bidi="ar-SA"/>
        </w:rPr>
        <w:t>的审批程序</w:t>
      </w:r>
      <w:r>
        <w:rPr>
          <w:rFonts w:hint="default" w:ascii="Times New Roman" w:hAnsi="Times New Roman" w:cs="Times New Roman" w:eastAsiaTheme="minorEastAsia"/>
          <w:color w:val="auto"/>
          <w:kern w:val="2"/>
          <w:sz w:val="21"/>
          <w:szCs w:val="21"/>
          <w:highlight w:val="none"/>
          <w:lang w:val="en-US" w:eastAsia="zh-CN" w:bidi="ar-SA"/>
        </w:rPr>
        <w:t>，</w:t>
      </w:r>
      <w:r>
        <w:rPr>
          <w:rFonts w:hint="eastAsia" w:cs="Times New Roman"/>
          <w:color w:val="auto"/>
          <w:kern w:val="2"/>
          <w:sz w:val="21"/>
          <w:szCs w:val="21"/>
          <w:highlight w:val="none"/>
          <w:lang w:val="en-US" w:eastAsia="zh-CN" w:bidi="ar-SA"/>
        </w:rPr>
        <w:t>履行</w:t>
      </w:r>
      <w:r>
        <w:rPr>
          <w:rFonts w:hint="eastAsia" w:cs="Times New Roman"/>
          <w:color w:val="auto"/>
          <w:lang w:val="en-US" w:eastAsia="zh-CN"/>
        </w:rPr>
        <w:t>局党组会的重大决策机制并形成集体决策会议纪要，</w:t>
      </w:r>
      <w:r>
        <w:rPr>
          <w:rFonts w:hint="eastAsia"/>
        </w:rPr>
        <w:t>作为支付审批的必备凭证与档案留存</w:t>
      </w:r>
      <w:r>
        <w:rPr>
          <w:rFonts w:hint="eastAsia"/>
          <w:lang w:eastAsia="zh-CN"/>
        </w:rPr>
        <w:t>，</w:t>
      </w:r>
      <w:r>
        <w:rPr>
          <w:rFonts w:hint="eastAsia"/>
          <w:lang w:val="en-US" w:eastAsia="zh-CN"/>
        </w:rPr>
        <w:t>确保单位资金支付审批程序完整，资金管理使用规范</w:t>
      </w:r>
      <w:r>
        <w:rPr>
          <w:rFonts w:hint="eastAsia"/>
        </w:rPr>
        <w:t>。</w:t>
      </w:r>
    </w:p>
    <w:p w14:paraId="134E946B">
      <w:pPr>
        <w:pStyle w:val="5"/>
        <w:spacing w:line="360" w:lineRule="auto"/>
        <w:rPr>
          <w:rFonts w:hint="default"/>
          <w:sz w:val="21"/>
          <w:szCs w:val="21"/>
          <w:lang w:val="en-US" w:eastAsia="zh-CN"/>
        </w:rPr>
      </w:pPr>
      <w:bookmarkStart w:id="11" w:name="_Toc10819"/>
      <w:r>
        <w:rPr>
          <w:rFonts w:hint="eastAsia"/>
          <w:sz w:val="21"/>
          <w:szCs w:val="21"/>
          <w:lang w:val="en-US" w:eastAsia="zh-CN"/>
        </w:rPr>
        <w:t>2.</w:t>
      </w:r>
      <w:r>
        <w:rPr>
          <w:rFonts w:hint="default"/>
          <w:sz w:val="21"/>
          <w:szCs w:val="21"/>
          <w:lang w:val="en-US" w:eastAsia="zh-CN"/>
        </w:rPr>
        <w:t>压实补助资金发放的主体责任</w:t>
      </w:r>
      <w:r>
        <w:rPr>
          <w:rFonts w:hint="eastAsia"/>
          <w:sz w:val="21"/>
          <w:szCs w:val="21"/>
          <w:lang w:val="en-US" w:eastAsia="zh-CN"/>
        </w:rPr>
        <w:t>，确保资金按时发放</w:t>
      </w:r>
      <w:bookmarkEnd w:id="11"/>
    </w:p>
    <w:p w14:paraId="692B3588">
      <w:pPr>
        <w:numPr>
          <w:ilvl w:val="-1"/>
          <w:numId w:val="0"/>
        </w:numPr>
        <w:spacing w:line="360" w:lineRule="auto"/>
        <w:ind w:firstLine="420"/>
        <w:rPr>
          <w:rFonts w:hint="eastAsia" w:asciiTheme="minorEastAsia" w:hAnsiTheme="minorEastAsia" w:cstheme="minorEastAsia"/>
          <w:lang w:val="en-US" w:eastAsia="zh-CN"/>
        </w:rPr>
      </w:pPr>
      <w:r>
        <w:rPr>
          <w:rFonts w:hint="eastAsia" w:asciiTheme="minorEastAsia" w:hAnsiTheme="minorEastAsia" w:cstheme="minorEastAsia"/>
          <w:lang w:val="en-US" w:eastAsia="zh-CN"/>
        </w:rPr>
        <w:t>一是建议项目实施单位压实补助资金发放的主体责任，明确项目流程和时间节点，确保伊宁县儿童福利院严格按照时间节点完成数据的上报和审核工作，严格按照流程完成补助资金的发放，确保政策落实到位。</w:t>
      </w:r>
    </w:p>
    <w:p w14:paraId="1CCADDE1">
      <w:pPr>
        <w:numPr>
          <w:ilvl w:val="-1"/>
          <w:numId w:val="0"/>
        </w:numPr>
        <w:spacing w:line="360" w:lineRule="auto"/>
        <w:ind w:firstLine="420"/>
        <w:rPr>
          <w:rFonts w:hint="eastAsia" w:asciiTheme="minorEastAsia" w:hAnsiTheme="minorEastAsia" w:cstheme="minorEastAsia"/>
        </w:rPr>
      </w:pPr>
      <w:r>
        <w:rPr>
          <w:rFonts w:hint="eastAsia" w:asciiTheme="minorEastAsia" w:hAnsiTheme="minorEastAsia" w:cstheme="minorEastAsia"/>
          <w:lang w:val="en-US" w:eastAsia="zh-CN"/>
        </w:rPr>
        <w:t>二是建议</w:t>
      </w:r>
      <w:r>
        <w:rPr>
          <w:rFonts w:hint="eastAsia" w:eastAsiaTheme="minorEastAsia"/>
          <w:color w:val="auto"/>
          <w:sz w:val="21"/>
          <w:lang w:eastAsia="zh-CN"/>
        </w:rPr>
        <w:t>实施单位</w:t>
      </w:r>
      <w:r>
        <w:rPr>
          <w:rFonts w:hint="eastAsia"/>
          <w:color w:val="auto"/>
          <w:sz w:val="21"/>
          <w:lang w:val="en-US" w:eastAsia="zh-CN"/>
        </w:rPr>
        <w:t>落实</w:t>
      </w:r>
      <w:r>
        <w:rPr>
          <w:rFonts w:hint="eastAsia" w:eastAsiaTheme="minorEastAsia"/>
          <w:color w:val="auto"/>
          <w:sz w:val="21"/>
          <w:lang w:eastAsia="zh-CN"/>
        </w:rPr>
        <w:t>监督检查机制，定期核查受助孤儿补助资金发放情况，按照补助发放要求并结合学生在校的生活需要，确保资金按时、足额发放至孤儿手中</w:t>
      </w:r>
      <w:r>
        <w:rPr>
          <w:rFonts w:hint="eastAsia" w:asciiTheme="minorEastAsia" w:hAnsiTheme="minorEastAsia" w:cstheme="minorEastAsia"/>
          <w:lang w:val="en-US" w:eastAsia="zh-CN"/>
        </w:rPr>
        <w:t>。</w:t>
      </w:r>
    </w:p>
    <w:p w14:paraId="40B5D619">
      <w:pPr>
        <w:pStyle w:val="5"/>
        <w:spacing w:line="360" w:lineRule="auto"/>
        <w:rPr>
          <w:rFonts w:hint="default"/>
          <w:sz w:val="21"/>
          <w:szCs w:val="21"/>
          <w:lang w:val="en-US" w:eastAsia="zh-CN"/>
        </w:rPr>
      </w:pPr>
      <w:bookmarkStart w:id="12" w:name="_Toc11522"/>
      <w:r>
        <w:rPr>
          <w:rFonts w:hint="eastAsia"/>
          <w:sz w:val="21"/>
          <w:szCs w:val="21"/>
          <w:lang w:val="en-US" w:eastAsia="zh-CN"/>
        </w:rPr>
        <w:t>3.按规定</w:t>
      </w:r>
      <w:r>
        <w:rPr>
          <w:rFonts w:hint="default"/>
          <w:sz w:val="21"/>
          <w:szCs w:val="21"/>
          <w:lang w:val="en-US" w:eastAsia="zh-CN"/>
        </w:rPr>
        <w:t>落实公示公开</w:t>
      </w:r>
      <w:r>
        <w:rPr>
          <w:rFonts w:hint="eastAsia"/>
          <w:sz w:val="21"/>
          <w:szCs w:val="21"/>
          <w:lang w:val="en-US" w:eastAsia="zh-CN"/>
        </w:rPr>
        <w:t>要求，确保资金使用公开透明</w:t>
      </w:r>
      <w:bookmarkEnd w:id="12"/>
    </w:p>
    <w:p w14:paraId="2163D1C4">
      <w:pPr>
        <w:pageBreakBefore w:val="0"/>
        <w:numPr>
          <w:ilvl w:val="-1"/>
          <w:numId w:val="0"/>
        </w:numPr>
        <w:kinsoku/>
        <w:wordWrap/>
        <w:overflowPunct/>
        <w:topLinePunct w:val="0"/>
        <w:autoSpaceDE/>
        <w:autoSpaceDN/>
        <w:bidi w:val="0"/>
        <w:snapToGrid w:val="0"/>
        <w:spacing w:line="360" w:lineRule="auto"/>
        <w:ind w:firstLine="422"/>
        <w:rPr>
          <w:rFonts w:hint="default" w:ascii="Times New Roman" w:hAnsi="Times New Roman" w:cs="Times New Roman"/>
          <w:color w:val="auto"/>
          <w:kern w:val="2"/>
          <w:sz w:val="21"/>
        </w:rPr>
        <w:sectPr>
          <w:headerReference r:id="rId12" w:type="default"/>
          <w:footerReference r:id="rId13" w:type="default"/>
          <w:pgSz w:w="11906" w:h="16838"/>
          <w:pgMar w:top="1440" w:right="1797" w:bottom="1440" w:left="1797" w:header="850" w:footer="907" w:gutter="0"/>
          <w:pgBorders>
            <w:top w:val="none" w:sz="0" w:space="0"/>
            <w:left w:val="none" w:sz="0" w:space="0"/>
            <w:bottom w:val="none" w:sz="0" w:space="0"/>
            <w:right w:val="none" w:sz="0" w:space="0"/>
          </w:pgBorders>
          <w:pgNumType w:fmt="upperRoman" w:start="1"/>
          <w:cols w:space="720" w:num="1"/>
          <w:rtlGutter w:val="0"/>
          <w:docGrid w:type="lines" w:linePitch="312" w:charSpace="0"/>
        </w:sectPr>
      </w:pPr>
      <w:r>
        <w:rPr>
          <w:rFonts w:hint="eastAsia" w:cs="Times New Roman"/>
          <w:color w:val="auto"/>
          <w:kern w:val="2"/>
          <w:sz w:val="21"/>
          <w:szCs w:val="21"/>
          <w:lang w:val="en-US" w:eastAsia="zh-CN" w:bidi="ar-SA"/>
        </w:rPr>
        <w:t>建议</w:t>
      </w:r>
      <w:r>
        <w:rPr>
          <w:rFonts w:hint="eastAsia" w:cs="Times New Roman"/>
          <w:color w:val="auto"/>
          <w:lang w:val="en-US" w:eastAsia="zh-CN"/>
        </w:rPr>
        <w:t>项目实施单位严格按照《中央专项彩票公益金支持地方社会公益事业发展资金管理办法》（财综〔2022〕43号）文件要求落实公示公开责任 ，及时对项目的资金规模、支出内容、执行情况和实际效果等，向社会宣传公告，接受社会监督</w:t>
      </w:r>
      <w:r>
        <w:rPr>
          <w:rFonts w:hint="default" w:ascii="Times New Roman" w:hAnsi="Times New Roman" w:cs="Times New Roman"/>
          <w:color w:val="auto"/>
          <w:kern w:val="2"/>
          <w:sz w:val="21"/>
          <w:szCs w:val="21"/>
          <w:lang w:val="en-US" w:eastAsia="zh-CN" w:bidi="ar-SA"/>
        </w:rPr>
        <w:t>，</w:t>
      </w:r>
      <w:r>
        <w:rPr>
          <w:rFonts w:hint="eastAsia" w:cs="Times New Roman"/>
          <w:color w:val="auto"/>
          <w:kern w:val="2"/>
          <w:sz w:val="21"/>
          <w:szCs w:val="21"/>
          <w:lang w:val="en-US" w:eastAsia="zh-CN" w:bidi="ar-SA"/>
        </w:rPr>
        <w:t>确保资金使用公开透明</w:t>
      </w:r>
      <w:r>
        <w:rPr>
          <w:rFonts w:hint="default" w:ascii="Times New Roman" w:hAnsi="Times New Roman" w:cs="Times New Roman" w:eastAsiaTheme="minorEastAsia"/>
          <w:color w:val="auto"/>
          <w:kern w:val="2"/>
          <w:sz w:val="21"/>
          <w:szCs w:val="21"/>
          <w:lang w:val="en-US" w:eastAsia="zh-CN" w:bidi="ar-SA"/>
        </w:rPr>
        <w:t>。</w:t>
      </w:r>
    </w:p>
    <w:sdt>
      <w:sdtPr>
        <w:rPr>
          <w:rFonts w:ascii="Times New Roman" w:hAnsi="Times New Roman" w:eastAsia="宋体" w:cs="Times New Roman"/>
          <w:bCs w:val="0"/>
          <w:color w:val="auto"/>
          <w:sz w:val="21"/>
          <w:szCs w:val="21"/>
        </w:rPr>
        <w:id w:val="147469479"/>
        <w:docPartObj>
          <w:docPartGallery w:val="Table of Contents"/>
          <w:docPartUnique/>
        </w:docPartObj>
      </w:sdtPr>
      <w:sdtEndPr>
        <w:rPr>
          <w:rFonts w:ascii="Times New Roman" w:hAnsi="Times New Roman" w:eastAsia="宋体" w:cs="Times New Roman"/>
          <w:b/>
          <w:bCs w:val="0"/>
          <w:color w:val="auto"/>
          <w:sz w:val="21"/>
          <w:szCs w:val="21"/>
        </w:rPr>
      </w:sdtEndPr>
      <w:sdtContent>
        <w:p w14:paraId="1EEFAE7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b/>
              <w:bCs w:val="0"/>
              <w:color w:val="auto"/>
              <w:kern w:val="2"/>
              <w:sz w:val="21"/>
              <w:szCs w:val="21"/>
              <w:lang w:val="en-US" w:eastAsia="zh-CN" w:bidi="ar-SA"/>
            </w:rPr>
          </w:pPr>
          <w:r>
            <w:rPr>
              <w:rFonts w:ascii="Times New Roman" w:hAnsi="Times New Roman" w:eastAsia="宋体" w:cs="Times New Roman"/>
              <w:b/>
              <w:bCs w:val="0"/>
              <w:color w:val="auto"/>
              <w:sz w:val="28"/>
              <w:szCs w:val="28"/>
            </w:rPr>
            <w:t>目录</w:t>
          </w:r>
          <w:r>
            <w:rPr>
              <w:rFonts w:ascii="Times New Roman" w:hAnsi="Times New Roman" w:eastAsia="宋体" w:cs="Times New Roman"/>
              <w:bCs w:val="0"/>
              <w:color w:val="auto"/>
              <w:sz w:val="21"/>
              <w:szCs w:val="21"/>
            </w:rPr>
            <w:fldChar w:fldCharType="begin"/>
          </w:r>
          <w:r>
            <w:rPr>
              <w:rFonts w:ascii="Times New Roman" w:hAnsi="Times New Roman" w:eastAsia="宋体" w:cs="Times New Roman"/>
              <w:bCs w:val="0"/>
              <w:color w:val="auto"/>
              <w:sz w:val="21"/>
              <w:szCs w:val="21"/>
            </w:rPr>
            <w:instrText xml:space="preserve">TOC \o "1-2" \h \u </w:instrText>
          </w:r>
          <w:r>
            <w:rPr>
              <w:rFonts w:ascii="Times New Roman" w:hAnsi="Times New Roman" w:eastAsia="宋体" w:cs="Times New Roman"/>
              <w:bCs w:val="0"/>
              <w:color w:val="auto"/>
              <w:sz w:val="21"/>
              <w:szCs w:val="21"/>
            </w:rPr>
            <w:fldChar w:fldCharType="separate"/>
          </w:r>
        </w:p>
        <w:p w14:paraId="7EDDC2D4">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exact"/>
            <w:ind w:firstLine="0" w:firstLineChars="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_Toc28830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lang w:val="en-US" w:eastAsia="zh-CN"/>
            </w:rPr>
            <w:t>一、基本情况</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_Toc28830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1</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613CF867">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exact"/>
            <w:ind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_Toc22837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（一）</w:t>
          </w:r>
          <w:r>
            <w:rPr>
              <w:rFonts w:hint="default" w:ascii="Times New Roman" w:hAnsi="Times New Roman" w:cs="Times New Roman" w:eastAsiaTheme="minorEastAsia"/>
              <w:color w:val="auto"/>
              <w:sz w:val="21"/>
              <w:szCs w:val="21"/>
              <w:highlight w:val="none"/>
              <w:lang w:val="en-US" w:eastAsia="zh-CN"/>
            </w:rPr>
            <w:t>项目概况</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_Toc22837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1</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0DE092EE">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exact"/>
            <w:ind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_Toc28956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（二）资金投入和使用情况</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_Toc28956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2</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157AADA2">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exact"/>
            <w:ind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_Toc8978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（三）项目实施情况</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_Toc8978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2</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3B44900D">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exact"/>
            <w:ind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_Toc5149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（四）项目组织管理</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_Toc5149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3</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4F3199A6">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exact"/>
            <w:ind w:firstLine="0" w:firstLineChars="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_Toc4201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二、项目绩效目标</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_Toc4201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4</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0767ECB2">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exact"/>
            <w:ind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_Toc16555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（一）项目绩效总目标</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_Toc16555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4</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1B257067">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exact"/>
            <w:ind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_Toc8685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（二）年度绩效目标</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_Toc8685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4</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20622618">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exact"/>
            <w:ind w:firstLine="0" w:firstLineChars="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_Toc32039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三、绩效评价工作开展情况</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_Toc32039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5</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314B80BF">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exact"/>
            <w:ind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_Toc17957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（一）绩效评价依据</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_Toc17957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5</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2C5F5A7B">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exact"/>
            <w:ind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_Toc10202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（二）绩效评价目的、对象和范围</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_Toc10202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5</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41607D6B">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exact"/>
            <w:ind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_Toc9889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（三）绩效评价原则</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_Toc9889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6</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0480197D">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exact"/>
            <w:ind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_Toc28872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lang w:eastAsia="zh-CN"/>
            </w:rPr>
            <w:t>（</w:t>
          </w:r>
          <w:r>
            <w:rPr>
              <w:rFonts w:hint="default" w:ascii="Times New Roman" w:hAnsi="Times New Roman" w:cs="Times New Roman" w:eastAsiaTheme="minorEastAsia"/>
              <w:color w:val="auto"/>
              <w:sz w:val="21"/>
              <w:szCs w:val="21"/>
              <w:highlight w:val="none"/>
              <w:lang w:val="en-US" w:eastAsia="zh-CN"/>
            </w:rPr>
            <w:t>四</w:t>
          </w:r>
          <w:r>
            <w:rPr>
              <w:rFonts w:hint="default" w:ascii="Times New Roman" w:hAnsi="Times New Roman" w:cs="Times New Roman" w:eastAsiaTheme="minorEastAsia"/>
              <w:color w:val="auto"/>
              <w:sz w:val="21"/>
              <w:szCs w:val="21"/>
              <w:highlight w:val="none"/>
              <w:lang w:eastAsia="zh-CN"/>
            </w:rPr>
            <w:t>）</w:t>
          </w:r>
          <w:r>
            <w:rPr>
              <w:rFonts w:hint="default" w:ascii="Times New Roman" w:hAnsi="Times New Roman" w:cs="Times New Roman" w:eastAsiaTheme="minorEastAsia"/>
              <w:color w:val="auto"/>
              <w:sz w:val="21"/>
              <w:szCs w:val="21"/>
              <w:highlight w:val="none"/>
              <w:lang w:val="en-US" w:eastAsia="zh-CN"/>
            </w:rPr>
            <w:t>绩效评价标准</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_Toc28872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6</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6766EC9C">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exact"/>
            <w:ind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_Toc26704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w:t>
          </w:r>
          <w:r>
            <w:rPr>
              <w:rFonts w:hint="default" w:ascii="Times New Roman" w:hAnsi="Times New Roman" w:cs="Times New Roman" w:eastAsiaTheme="minorEastAsia"/>
              <w:color w:val="auto"/>
              <w:sz w:val="21"/>
              <w:szCs w:val="21"/>
              <w:highlight w:val="none"/>
              <w:lang w:val="en-US" w:eastAsia="zh-CN"/>
            </w:rPr>
            <w:t>五</w:t>
          </w:r>
          <w:r>
            <w:rPr>
              <w:rFonts w:hint="default" w:ascii="Times New Roman" w:hAnsi="Times New Roman" w:cs="Times New Roman" w:eastAsiaTheme="minorEastAsia"/>
              <w:color w:val="auto"/>
              <w:sz w:val="21"/>
              <w:szCs w:val="21"/>
              <w:highlight w:val="none"/>
            </w:rPr>
            <w:t>）绩效评价方法</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_Toc26704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6</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7575451A">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exact"/>
            <w:ind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_Toc17265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w:t>
          </w:r>
          <w:r>
            <w:rPr>
              <w:rFonts w:hint="default" w:ascii="Times New Roman" w:hAnsi="Times New Roman" w:cs="Times New Roman" w:eastAsiaTheme="minorEastAsia"/>
              <w:color w:val="auto"/>
              <w:sz w:val="21"/>
              <w:szCs w:val="21"/>
              <w:highlight w:val="none"/>
              <w:lang w:val="en-US" w:eastAsia="zh-CN"/>
            </w:rPr>
            <w:t>六</w:t>
          </w:r>
          <w:r>
            <w:rPr>
              <w:rFonts w:hint="default" w:ascii="Times New Roman" w:hAnsi="Times New Roman" w:cs="Times New Roman" w:eastAsiaTheme="minorEastAsia"/>
              <w:color w:val="auto"/>
              <w:sz w:val="21"/>
              <w:szCs w:val="21"/>
              <w:highlight w:val="none"/>
            </w:rPr>
            <w:t>）绩效评价指标体系设计</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_Toc17265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7</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52E5980D">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exact"/>
            <w:ind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_Toc25044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lang w:val="en-US" w:eastAsia="zh-CN"/>
            </w:rPr>
            <w:t>（七）绩效评价工作过程</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_Toc25044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8</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3BB09C32">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exact"/>
            <w:ind w:firstLine="0" w:firstLineChars="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_Toc22664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四、综合评价情况及评价结论</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_Toc22664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10</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54363B28">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exact"/>
            <w:ind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_Toc6982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（一）评价得分情况</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_Toc6982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10</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062073AF">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exact"/>
            <w:ind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_Toc18731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（二）综合评价结论</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_Toc18731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10</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741183BA">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exact"/>
            <w:ind w:firstLine="0" w:firstLineChars="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_Toc23823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五、绩效评价指标分析</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_Toc23823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11</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3CE2F446">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exact"/>
            <w:ind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_Toc2268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（一）项目决策情况</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_Toc2268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11</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7D767D85">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exact"/>
            <w:ind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_Toc20089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（二）项目过程情况</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_Toc20089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13</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11F34824">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exact"/>
            <w:ind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_Toc25668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（三）项目产出情况</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_Toc25668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15</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54B65367">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exact"/>
            <w:ind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_Toc27117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（四）项目效益情况</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_Toc27117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16</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174CDA1C">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exact"/>
            <w:ind w:firstLine="0" w:firstLineChars="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_Toc21254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六、主要经验及做法、存在的问题及原因分析</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_Toc21254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17</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0C5831D1">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exact"/>
            <w:ind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_Toc31733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（一）主要经验及做法</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_Toc31733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17</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1A4B527A">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exact"/>
            <w:ind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_Toc7464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（二）存在的问题</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_Toc7464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17</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03161A02">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exact"/>
            <w:ind w:firstLine="0" w:firstLineChars="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_Toc19324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七、有关建议</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_Toc19324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18</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5E055C76">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exact"/>
            <w:ind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_Toc6374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lang w:val="en-US" w:eastAsia="zh-CN"/>
            </w:rPr>
            <w:t>（一）</w:t>
          </w:r>
          <w:r>
            <w:rPr>
              <w:rFonts w:hint="eastAsia" w:ascii="Times New Roman" w:hAnsi="Times New Roman" w:cs="Times New Roman" w:eastAsiaTheme="minorEastAsia"/>
              <w:color w:val="auto"/>
              <w:sz w:val="21"/>
              <w:szCs w:val="21"/>
              <w:highlight w:val="none"/>
              <w:lang w:val="en-US" w:eastAsia="zh-CN"/>
            </w:rPr>
            <w:t>完善项目</w:t>
          </w:r>
          <w:r>
            <w:rPr>
              <w:rFonts w:hint="default" w:ascii="Times New Roman" w:hAnsi="Times New Roman" w:cs="Times New Roman" w:eastAsiaTheme="minorEastAsia"/>
              <w:color w:val="auto"/>
              <w:sz w:val="21"/>
              <w:szCs w:val="21"/>
              <w:highlight w:val="none"/>
              <w:lang w:val="en-US" w:eastAsia="zh-CN"/>
            </w:rPr>
            <w:t>资金</w:t>
          </w:r>
          <w:r>
            <w:rPr>
              <w:rFonts w:hint="eastAsia" w:ascii="Times New Roman" w:hAnsi="Times New Roman" w:cs="Times New Roman" w:eastAsiaTheme="minorEastAsia"/>
              <w:color w:val="auto"/>
              <w:sz w:val="21"/>
              <w:szCs w:val="21"/>
              <w:highlight w:val="none"/>
              <w:lang w:val="en-US" w:eastAsia="zh-CN"/>
            </w:rPr>
            <w:t>支出审批程序</w:t>
          </w:r>
          <w:r>
            <w:rPr>
              <w:rFonts w:hint="default" w:ascii="Times New Roman" w:hAnsi="Times New Roman" w:cs="Times New Roman" w:eastAsiaTheme="minorEastAsia"/>
              <w:color w:val="auto"/>
              <w:sz w:val="21"/>
              <w:szCs w:val="21"/>
              <w:highlight w:val="none"/>
              <w:lang w:val="en-US" w:eastAsia="zh-CN"/>
            </w:rPr>
            <w:t>，确保资金管理使用规范</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_Toc6374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18</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11E13B7A">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exact"/>
            <w:ind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_Toc15589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lang w:val="en-US" w:eastAsia="zh-CN"/>
            </w:rPr>
            <w:t>（二）压实补助资金发放的主体责任</w:t>
          </w:r>
          <w:r>
            <w:rPr>
              <w:rFonts w:hint="eastAsia" w:ascii="Times New Roman" w:hAnsi="Times New Roman" w:cs="Times New Roman" w:eastAsiaTheme="minorEastAsia"/>
              <w:color w:val="auto"/>
              <w:sz w:val="21"/>
              <w:szCs w:val="21"/>
              <w:highlight w:val="none"/>
              <w:lang w:val="en-US" w:eastAsia="zh-CN"/>
            </w:rPr>
            <w:t>，确保资金按时发放</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_Toc15589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18</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19949B9C">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exact"/>
            <w:ind w:firstLine="420" w:firstLineChars="20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_Toc11235 </w:instrText>
          </w:r>
          <w:r>
            <w:rPr>
              <w:rFonts w:hint="default" w:ascii="Times New Roman" w:hAnsi="Times New Roman" w:cs="Times New Roman" w:eastAsiaTheme="minorEastAsia"/>
              <w:color w:val="auto"/>
              <w:sz w:val="21"/>
              <w:szCs w:val="21"/>
              <w:highlight w:val="none"/>
            </w:rPr>
            <w:fldChar w:fldCharType="separate"/>
          </w:r>
          <w:r>
            <w:rPr>
              <w:rFonts w:hint="eastAsia" w:ascii="Times New Roman" w:hAnsi="Times New Roman" w:cs="Times New Roman" w:eastAsiaTheme="minorEastAsia"/>
              <w:color w:val="auto"/>
              <w:sz w:val="21"/>
              <w:szCs w:val="21"/>
              <w:highlight w:val="none"/>
              <w:lang w:val="en-US" w:eastAsia="zh-CN"/>
            </w:rPr>
            <w:t>（三</w:t>
          </w:r>
          <w:r>
            <w:rPr>
              <w:rFonts w:hint="default" w:ascii="Times New Roman" w:hAnsi="Times New Roman" w:cs="Times New Roman" w:eastAsiaTheme="minorEastAsia"/>
              <w:color w:val="auto"/>
              <w:sz w:val="21"/>
              <w:szCs w:val="21"/>
              <w:highlight w:val="none"/>
              <w:lang w:val="en-US" w:eastAsia="zh-CN"/>
            </w:rPr>
            <w:t>）</w:t>
          </w:r>
          <w:r>
            <w:rPr>
              <w:rFonts w:hint="eastAsia" w:ascii="Times New Roman" w:hAnsi="Times New Roman" w:cs="Times New Roman" w:eastAsiaTheme="minorEastAsia"/>
              <w:color w:val="auto"/>
              <w:sz w:val="21"/>
              <w:szCs w:val="21"/>
              <w:highlight w:val="none"/>
              <w:lang w:val="en-US" w:eastAsia="zh-CN"/>
            </w:rPr>
            <w:t>按规定</w:t>
          </w:r>
          <w:r>
            <w:rPr>
              <w:rFonts w:hint="default" w:ascii="Times New Roman" w:hAnsi="Times New Roman" w:cs="Times New Roman" w:eastAsiaTheme="minorEastAsia"/>
              <w:color w:val="auto"/>
              <w:sz w:val="21"/>
              <w:szCs w:val="21"/>
              <w:highlight w:val="none"/>
              <w:lang w:val="en-US" w:eastAsia="zh-CN"/>
            </w:rPr>
            <w:t>落实公示公开</w:t>
          </w:r>
          <w:r>
            <w:rPr>
              <w:rFonts w:hint="eastAsia" w:ascii="Times New Roman" w:hAnsi="Times New Roman" w:cs="Times New Roman" w:eastAsiaTheme="minorEastAsia"/>
              <w:color w:val="auto"/>
              <w:sz w:val="21"/>
              <w:szCs w:val="21"/>
              <w:highlight w:val="none"/>
              <w:lang w:val="en-US" w:eastAsia="zh-CN"/>
            </w:rPr>
            <w:t>要求，确保资金使用公开透明</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_Toc11235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18</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12FAD5B5">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exact"/>
            <w:ind w:firstLine="0" w:firstLineChars="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_Toc3815 </w:instrText>
          </w:r>
          <w:r>
            <w:rPr>
              <w:rFonts w:hint="default" w:ascii="Times New Roman" w:hAnsi="Times New Roman" w:cs="Times New Roman" w:eastAsiaTheme="minorEastAsia"/>
              <w:color w:val="auto"/>
              <w:sz w:val="21"/>
              <w:szCs w:val="21"/>
              <w:highlight w:val="none"/>
            </w:rPr>
            <w:fldChar w:fldCharType="separate"/>
          </w:r>
          <w:r>
            <w:rPr>
              <w:rFonts w:hint="eastAsia" w:ascii="Times New Roman" w:hAnsi="Times New Roman" w:cs="Times New Roman" w:eastAsiaTheme="minorEastAsia"/>
              <w:color w:val="auto"/>
              <w:sz w:val="21"/>
              <w:szCs w:val="21"/>
              <w:highlight w:val="none"/>
              <w:lang w:val="en-US" w:eastAsia="zh-CN"/>
            </w:rPr>
            <w:t>八、绩效评价结果应用建议</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_Toc3815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19</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34EE39F8">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exact"/>
            <w:ind w:firstLine="0" w:firstLineChars="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_Toc21267 </w:instrText>
          </w:r>
          <w:r>
            <w:rPr>
              <w:rFonts w:hint="default" w:ascii="Times New Roman" w:hAnsi="Times New Roman" w:cs="Times New Roman" w:eastAsiaTheme="minorEastAsia"/>
              <w:color w:val="auto"/>
              <w:sz w:val="21"/>
              <w:szCs w:val="21"/>
              <w:highlight w:val="none"/>
            </w:rPr>
            <w:fldChar w:fldCharType="separate"/>
          </w:r>
          <w:r>
            <w:rPr>
              <w:rFonts w:hint="eastAsia" w:ascii="Times New Roman" w:hAnsi="Times New Roman" w:cs="Times New Roman" w:eastAsiaTheme="minorEastAsia"/>
              <w:color w:val="auto"/>
              <w:sz w:val="21"/>
              <w:szCs w:val="21"/>
              <w:highlight w:val="none"/>
              <w:lang w:val="en-US" w:eastAsia="zh-CN"/>
            </w:rPr>
            <w:t>九</w:t>
          </w:r>
          <w:r>
            <w:rPr>
              <w:rFonts w:hint="default" w:ascii="Times New Roman" w:hAnsi="Times New Roman" w:cs="Times New Roman" w:eastAsiaTheme="minorEastAsia"/>
              <w:color w:val="auto"/>
              <w:sz w:val="21"/>
              <w:szCs w:val="21"/>
              <w:highlight w:val="none"/>
            </w:rPr>
            <w:t>、其他需要说明的问题</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_Toc21267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19</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1172AA6D">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exact"/>
            <w:ind w:firstLine="0" w:firstLineChars="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_Toc1881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附件1：绩效评价指标体系及综合评价表</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_Toc1881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20</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74183BC8">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exact"/>
            <w:ind w:firstLine="0" w:firstLineChars="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_Toc20185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附件2：基础表</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_Toc20185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25</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3E04F6EA">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exact"/>
            <w:ind w:firstLine="0" w:firstLineChars="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_Toc22354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附件3：问卷调查分析报告</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_Toc22354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30</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2318AEE5">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exact"/>
            <w:ind w:firstLine="0" w:firstLineChars="0"/>
            <w:textAlignment w:val="auto"/>
          </w:pP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HYPERLINK \l _Toc15658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附件</w:t>
          </w:r>
          <w:r>
            <w:rPr>
              <w:rFonts w:hint="default" w:ascii="Times New Roman" w:hAnsi="Times New Roman" w:cs="Times New Roman" w:eastAsiaTheme="minorEastAsia"/>
              <w:color w:val="auto"/>
              <w:sz w:val="21"/>
              <w:szCs w:val="21"/>
              <w:highlight w:val="none"/>
              <w:lang w:val="en-US" w:eastAsia="zh-CN"/>
            </w:rPr>
            <w:t>4</w:t>
          </w:r>
          <w:r>
            <w:rPr>
              <w:rFonts w:hint="default" w:ascii="Times New Roman" w:hAnsi="Times New Roman" w:cs="Times New Roman" w:eastAsiaTheme="minorEastAsia"/>
              <w:color w:val="auto"/>
              <w:sz w:val="21"/>
              <w:szCs w:val="21"/>
              <w:highlight w:val="none"/>
            </w:rPr>
            <w:t>：绩效评价工作沟通反馈结果</w:t>
          </w:r>
          <w:r>
            <w:rPr>
              <w:rFonts w:hint="default" w:ascii="Times New Roman" w:hAnsi="Times New Roman" w:cs="Times New Roman" w:eastAsiaTheme="minorEastAsia"/>
              <w:color w:val="auto"/>
              <w:sz w:val="21"/>
              <w:szCs w:val="21"/>
              <w:highlight w:val="none"/>
            </w:rPr>
            <w:tab/>
          </w:r>
          <w:r>
            <w:rPr>
              <w:rFonts w:hint="default" w:ascii="Times New Roman" w:hAnsi="Times New Roman" w:cs="Times New Roman" w:eastAsiaTheme="minorEastAsia"/>
              <w:color w:val="auto"/>
              <w:sz w:val="21"/>
              <w:szCs w:val="21"/>
              <w:highlight w:val="none"/>
            </w:rPr>
            <w:fldChar w:fldCharType="begin"/>
          </w:r>
          <w:r>
            <w:rPr>
              <w:rFonts w:hint="default" w:ascii="Times New Roman" w:hAnsi="Times New Roman" w:cs="Times New Roman" w:eastAsiaTheme="minorEastAsia"/>
              <w:color w:val="auto"/>
              <w:sz w:val="21"/>
              <w:szCs w:val="21"/>
              <w:highlight w:val="none"/>
            </w:rPr>
            <w:instrText xml:space="preserve"> PAGEREF _Toc15658 \h </w:instrText>
          </w:r>
          <w:r>
            <w:rPr>
              <w:rFonts w:hint="default" w:ascii="Times New Roman" w:hAnsi="Times New Roman" w:cs="Times New Roman" w:eastAsiaTheme="minorEastAsia"/>
              <w:color w:val="auto"/>
              <w:sz w:val="21"/>
              <w:szCs w:val="21"/>
              <w:highlight w:val="none"/>
            </w:rPr>
            <w:fldChar w:fldCharType="separate"/>
          </w:r>
          <w:r>
            <w:rPr>
              <w:rFonts w:hint="default" w:ascii="Times New Roman" w:hAnsi="Times New Roman" w:cs="Times New Roman" w:eastAsiaTheme="minorEastAsia"/>
              <w:color w:val="auto"/>
              <w:sz w:val="21"/>
              <w:szCs w:val="21"/>
              <w:highlight w:val="none"/>
            </w:rPr>
            <w:t>32</w:t>
          </w:r>
          <w:r>
            <w:rPr>
              <w:rFonts w:hint="default" w:ascii="Times New Roman" w:hAnsi="Times New Roman" w:cs="Times New Roman" w:eastAsiaTheme="minorEastAsia"/>
              <w:color w:val="auto"/>
              <w:sz w:val="21"/>
              <w:szCs w:val="21"/>
              <w:highlight w:val="none"/>
            </w:rPr>
            <w:fldChar w:fldCharType="end"/>
          </w:r>
          <w:r>
            <w:rPr>
              <w:rFonts w:hint="default" w:ascii="Times New Roman" w:hAnsi="Times New Roman" w:cs="Times New Roman" w:eastAsiaTheme="minorEastAsia"/>
              <w:color w:val="auto"/>
              <w:sz w:val="21"/>
              <w:szCs w:val="21"/>
              <w:highlight w:val="none"/>
            </w:rPr>
            <w:fldChar w:fldCharType="end"/>
          </w:r>
        </w:p>
        <w:p w14:paraId="21D01172">
          <w:pPr>
            <w:keepNext w:val="0"/>
            <w:keepLines w:val="0"/>
            <w:pageBreakBefore w:val="0"/>
            <w:widowControl w:val="0"/>
            <w:kinsoku/>
            <w:wordWrap/>
            <w:overflowPunct/>
            <w:topLinePunct w:val="0"/>
            <w:autoSpaceDE/>
            <w:autoSpaceDN/>
            <w:bidi w:val="0"/>
            <w:adjustRightInd w:val="0"/>
            <w:snapToGrid w:val="0"/>
            <w:spacing w:line="380" w:lineRule="exact"/>
            <w:ind w:firstLine="0" w:firstLineChars="0"/>
            <w:jc w:val="center"/>
            <w:textAlignment w:val="auto"/>
            <w:rPr>
              <w:rFonts w:ascii="Times New Roman" w:hAnsi="Times New Roman" w:eastAsia="宋体" w:cs="Times New Roman"/>
              <w:color w:val="auto"/>
            </w:rPr>
          </w:pPr>
          <w:r>
            <w:rPr>
              <w:rFonts w:ascii="Times New Roman" w:hAnsi="Times New Roman" w:eastAsia="宋体" w:cs="Times New Roman"/>
              <w:b/>
              <w:bCs w:val="0"/>
              <w:color w:val="auto"/>
              <w:sz w:val="21"/>
              <w:szCs w:val="21"/>
            </w:rPr>
            <w:fldChar w:fldCharType="end"/>
          </w:r>
        </w:p>
      </w:sdtContent>
    </w:sdt>
    <w:p w14:paraId="24C1013E">
      <w:pPr>
        <w:pageBreakBefore w:val="0"/>
        <w:kinsoku/>
        <w:wordWrap/>
        <w:overflowPunct/>
        <w:topLinePunct w:val="0"/>
        <w:autoSpaceDE/>
        <w:autoSpaceDN/>
        <w:bidi w:val="0"/>
        <w:snapToGrid w:val="0"/>
        <w:spacing w:line="360" w:lineRule="auto"/>
        <w:ind w:firstLine="0" w:firstLineChars="0"/>
        <w:rPr>
          <w:rFonts w:ascii="Times New Roman" w:hAnsi="Times New Roman" w:eastAsia="宋体" w:cs="Times New Roman"/>
          <w:color w:val="auto"/>
        </w:rPr>
        <w:sectPr>
          <w:footerReference r:id="rId14" w:type="default"/>
          <w:pgSz w:w="11906" w:h="16838"/>
          <w:pgMar w:top="1213" w:right="1800" w:bottom="1213" w:left="1800" w:header="851" w:footer="907" w:gutter="0"/>
          <w:pgBorders>
            <w:top w:val="none" w:sz="0" w:space="0"/>
            <w:left w:val="none" w:sz="0" w:space="0"/>
            <w:bottom w:val="none" w:sz="0" w:space="0"/>
            <w:right w:val="none" w:sz="0" w:space="0"/>
          </w:pgBorders>
          <w:pgNumType w:fmt="decimal" w:start="1"/>
          <w:cols w:space="0" w:num="1"/>
          <w:rtlGutter w:val="0"/>
          <w:docGrid w:type="lines" w:linePitch="312" w:charSpace="0"/>
        </w:sectPr>
      </w:pPr>
    </w:p>
    <w:p w14:paraId="34C186FD">
      <w:pPr>
        <w:pageBreakBefore w:val="0"/>
        <w:kinsoku/>
        <w:wordWrap/>
        <w:overflowPunct/>
        <w:topLinePunct w:val="0"/>
        <w:autoSpaceDE/>
        <w:autoSpaceDN/>
        <w:bidi w:val="0"/>
        <w:adjustRightInd/>
        <w:snapToGrid w:val="0"/>
        <w:spacing w:line="360" w:lineRule="auto"/>
        <w:ind w:left="-178" w:leftChars="-85" w:firstLine="0" w:firstLineChars="0"/>
        <w:jc w:val="center"/>
        <w:outlineLvl w:val="0"/>
        <w:rPr>
          <w:rFonts w:ascii="Times New Roman" w:hAnsi="Times New Roman" w:eastAsia="楷体_GB2312" w:cs="Times New Roman"/>
          <w:b/>
          <w:color w:val="auto"/>
          <w:sz w:val="48"/>
          <w:szCs w:val="48"/>
        </w:rPr>
      </w:pPr>
      <w:bookmarkStart w:id="13" w:name="_Toc25378"/>
      <w:bookmarkStart w:id="14" w:name="_Toc17971"/>
      <w:bookmarkStart w:id="15" w:name="_Toc815237457"/>
      <w:bookmarkStart w:id="16" w:name="_Toc26455"/>
      <w:bookmarkStart w:id="17" w:name="_Toc5622"/>
      <w:bookmarkStart w:id="18" w:name="_Toc1861376465"/>
      <w:bookmarkStart w:id="19" w:name="_Toc3393"/>
      <w:r>
        <w:rPr>
          <w:rFonts w:ascii="Times New Roman" w:hAnsi="Times New Roman" w:eastAsia="仿宋_GB2312" w:cs="Times New Roman"/>
          <w:b/>
          <w:color w:val="auto"/>
          <w:sz w:val="48"/>
          <w:szCs w:val="48"/>
        </w:rPr>
        <w:t>新疆驰远天合有限责任会计师事务所</w:t>
      </w:r>
      <w:bookmarkEnd w:id="13"/>
      <w:bookmarkEnd w:id="14"/>
      <w:bookmarkEnd w:id="15"/>
      <w:bookmarkEnd w:id="16"/>
      <w:bookmarkEnd w:id="17"/>
      <w:bookmarkEnd w:id="18"/>
      <w:bookmarkEnd w:id="19"/>
    </w:p>
    <w:p w14:paraId="409B0B44">
      <w:pPr>
        <w:pageBreakBefore w:val="0"/>
        <w:kinsoku/>
        <w:wordWrap/>
        <w:overflowPunct/>
        <w:topLinePunct w:val="0"/>
        <w:autoSpaceDE/>
        <w:autoSpaceDN/>
        <w:bidi w:val="0"/>
        <w:adjustRightInd/>
        <w:snapToGrid w:val="0"/>
        <w:spacing w:line="360" w:lineRule="auto"/>
        <w:ind w:firstLine="0" w:firstLineChars="0"/>
        <w:jc w:val="center"/>
        <w:rPr>
          <w:rFonts w:ascii="Times New Roman" w:hAnsi="Times New Roman" w:eastAsia="宋体" w:cs="Times New Roman"/>
          <w:color w:val="auto"/>
          <w:sz w:val="24"/>
          <w:szCs w:val="24"/>
        </w:rPr>
      </w:pPr>
      <w:r>
        <w:rPr>
          <w:rFonts w:ascii="Times New Roman" w:hAnsi="Times New Roman" w:eastAsia="宋体" w:cs="Times New Roman"/>
          <w:color w:val="auto"/>
          <w:sz w:val="24"/>
          <w:szCs w:val="24"/>
        </w:rPr>
        <w:t>Xinjiang Chiyuantianhe Certified Public Accountants Co.,Ltd.</w:t>
      </w:r>
    </w:p>
    <w:p w14:paraId="2B0C9F46">
      <w:pPr>
        <w:pageBreakBefore w:val="0"/>
        <w:kinsoku/>
        <w:wordWrap/>
        <w:overflowPunct/>
        <w:topLinePunct w:val="0"/>
        <w:autoSpaceDE/>
        <w:autoSpaceDN/>
        <w:bidi w:val="0"/>
        <w:adjustRightInd/>
        <w:snapToGrid w:val="0"/>
        <w:spacing w:line="360" w:lineRule="auto"/>
        <w:ind w:firstLine="0" w:firstLineChars="0"/>
        <w:jc w:val="center"/>
        <w:outlineLvl w:val="0"/>
        <w:rPr>
          <w:rFonts w:ascii="Times New Roman" w:hAnsi="Times New Roman" w:eastAsia="宋体" w:cs="Times New Roman"/>
          <w:color w:val="auto"/>
        </w:rPr>
      </w:pPr>
      <w:bookmarkStart w:id="20" w:name="_Toc750271939"/>
      <w:bookmarkStart w:id="21" w:name="_Toc23718"/>
      <w:bookmarkStart w:id="22" w:name="_Toc11722"/>
      <w:bookmarkStart w:id="23" w:name="_Toc4177"/>
      <w:bookmarkStart w:id="24" w:name="_Toc21607"/>
      <w:bookmarkStart w:id="25" w:name="_Toc1759961406"/>
      <w:bookmarkStart w:id="26" w:name="_Toc15034"/>
      <w:r>
        <w:rPr>
          <w:rFonts w:ascii="Times New Roman" w:hAnsi="Times New Roman" w:eastAsia="宋体" w:cs="Times New Roman"/>
          <w:b/>
          <w:color w:val="auto"/>
          <w:spacing w:val="66"/>
          <w:kern w:val="0"/>
          <w:sz w:val="44"/>
          <w:szCs w:val="44"/>
          <w:fitText w:val="3300" w:id="1424759405"/>
        </w:rPr>
        <w:t>绩效评价报</w:t>
      </w:r>
      <w:r>
        <w:rPr>
          <w:rFonts w:ascii="Times New Roman" w:hAnsi="Times New Roman" w:eastAsia="宋体" w:cs="Times New Roman"/>
          <w:b/>
          <w:color w:val="auto"/>
          <w:spacing w:val="0"/>
          <w:kern w:val="0"/>
          <w:sz w:val="44"/>
          <w:szCs w:val="44"/>
          <w:fitText w:val="3300" w:id="1424759405"/>
        </w:rPr>
        <w:t>告</w:t>
      </w:r>
      <w:bookmarkEnd w:id="20"/>
      <w:bookmarkEnd w:id="21"/>
      <w:bookmarkEnd w:id="22"/>
      <w:bookmarkEnd w:id="23"/>
      <w:bookmarkEnd w:id="24"/>
      <w:bookmarkEnd w:id="25"/>
      <w:bookmarkEnd w:id="26"/>
    </w:p>
    <w:p w14:paraId="34EAB112">
      <w:pPr>
        <w:widowControl/>
        <w:adjustRightInd/>
        <w:snapToGrid/>
        <w:spacing w:line="240" w:lineRule="auto"/>
        <w:ind w:firstLine="0" w:firstLineChars="0"/>
        <w:jc w:val="center"/>
        <w:outlineLvl w:val="9"/>
        <w:rPr>
          <w:rFonts w:ascii="Times New Roman" w:hAnsi="Times New Roman" w:eastAsia="宋体" w:cs="Times New Roman"/>
          <w:color w:val="auto"/>
        </w:rPr>
      </w:pPr>
      <w:bookmarkStart w:id="27" w:name="_Toc6623"/>
      <w:bookmarkStart w:id="28" w:name="_Toc29772"/>
      <w:bookmarkStart w:id="29" w:name="_Toc28555"/>
      <w:r>
        <w:rPr>
          <w:rFonts w:hint="eastAsia" w:asciiTheme="minorEastAsia" w:hAnsiTheme="minorEastAsia" w:eastAsiaTheme="minorEastAsia" w:cstheme="minorEastAsia"/>
          <w:color w:val="auto"/>
        </w:rPr>
        <w:t>驰天会咨字</w:t>
      </w:r>
      <w:r>
        <w:rPr>
          <w:rFonts w:hint="default" w:ascii="Times New Roman" w:hAnsi="Times New Roman" w:eastAsia="宋体" w:cs="Times New Roman"/>
          <w:color w:val="auto"/>
          <w:lang w:eastAsia="zh-CN"/>
        </w:rPr>
        <w:t>〔2025〕</w:t>
      </w:r>
      <w:r>
        <w:rPr>
          <w:rFonts w:hint="default" w:ascii="Times New Roman" w:hAnsi="Times New Roman" w:eastAsia="宋体" w:cs="Times New Roman"/>
          <w:color w:val="auto"/>
          <w:lang w:val="en-US" w:eastAsia="zh-CN"/>
        </w:rPr>
        <w:t>1-0129</w:t>
      </w:r>
      <w:r>
        <w:rPr>
          <w:rFonts w:hint="eastAsia" w:asciiTheme="minorEastAsia" w:hAnsiTheme="minorEastAsia" w:eastAsiaTheme="minorEastAsia" w:cstheme="minorEastAsia"/>
          <w:color w:val="auto"/>
        </w:rPr>
        <w:t>号</w:t>
      </w:r>
      <w:bookmarkEnd w:id="27"/>
      <w:bookmarkEnd w:id="28"/>
      <w:bookmarkEnd w:id="29"/>
    </w:p>
    <w:p w14:paraId="2A8FAF38">
      <w:pPr>
        <w:spacing w:line="360" w:lineRule="auto"/>
        <w:ind w:firstLine="0" w:firstLineChars="0"/>
        <w:rPr>
          <w:rFonts w:hint="default" w:ascii="Times New Roman" w:hAnsi="Times New Roman" w:cs="Times New Roman"/>
          <w:color w:val="auto"/>
          <w:lang w:eastAsia="zh-CN"/>
        </w:rPr>
      </w:pPr>
    </w:p>
    <w:p w14:paraId="63628E2E">
      <w:pPr>
        <w:spacing w:line="360" w:lineRule="auto"/>
        <w:ind w:firstLine="0" w:firstLineChars="0"/>
        <w:rPr>
          <w:rFonts w:hint="default" w:ascii="Times New Roman" w:hAnsi="Times New Roman" w:cs="Times New Roman"/>
          <w:color w:val="auto"/>
          <w:lang w:eastAsia="zh-CN"/>
        </w:rPr>
      </w:pPr>
      <w:r>
        <w:rPr>
          <w:rFonts w:hint="default" w:ascii="Times New Roman" w:hAnsi="Times New Roman" w:cs="Times New Roman"/>
          <w:color w:val="auto"/>
          <w:lang w:eastAsia="zh-CN"/>
        </w:rPr>
        <w:t>伊宁县财政局：</w:t>
      </w:r>
    </w:p>
    <w:p w14:paraId="4458A1F5">
      <w:pPr>
        <w:spacing w:line="360" w:lineRule="auto"/>
        <w:ind w:firstLine="420" w:firstLineChars="200"/>
        <w:rPr>
          <w:rFonts w:hint="default" w:ascii="Times New Roman" w:hAnsi="Times New Roman" w:cs="Times New Roman"/>
          <w:color w:val="auto"/>
          <w:lang w:val="en-US" w:eastAsia="zh-CN"/>
        </w:rPr>
      </w:pPr>
      <w:r>
        <w:rPr>
          <w:rFonts w:hint="default" w:ascii="Times New Roman" w:hAnsi="Times New Roman" w:cs="Times New Roman"/>
          <w:color w:val="auto"/>
          <w:lang w:eastAsia="zh-CN"/>
        </w:rPr>
        <w:t>为贯彻落实全面</w:t>
      </w:r>
      <w:r>
        <w:rPr>
          <w:rFonts w:hint="default" w:ascii="Times New Roman" w:hAnsi="Times New Roman" w:cs="Times New Roman"/>
          <w:color w:val="auto"/>
          <w:highlight w:val="none"/>
        </w:rPr>
        <w:t>推进预算绩效管理工作的要求，完善部门预算管理，强化预算支出责任，提高</w:t>
      </w:r>
      <w:r>
        <w:rPr>
          <w:rFonts w:hint="eastAsia" w:cs="Times New Roman"/>
          <w:color w:val="auto"/>
          <w:highlight w:val="none"/>
          <w:lang w:eastAsia="zh-CN"/>
        </w:rPr>
        <w:t>财政资金使用</w:t>
      </w:r>
      <w:r>
        <w:rPr>
          <w:rFonts w:hint="default" w:ascii="Times New Roman" w:hAnsi="Times New Roman" w:cs="Times New Roman"/>
          <w:color w:val="auto"/>
          <w:highlight w:val="none"/>
        </w:rPr>
        <w:t>效益，根据《</w:t>
      </w:r>
      <w:r>
        <w:rPr>
          <w:rFonts w:hint="eastAsia" w:cs="Times New Roman"/>
          <w:color w:val="auto"/>
          <w:highlight w:val="none"/>
          <w:lang w:eastAsia="zh-CN"/>
        </w:rPr>
        <w:t>中共中央、国务院</w:t>
      </w:r>
      <w:r>
        <w:rPr>
          <w:rFonts w:hint="default" w:ascii="Times New Roman" w:hAnsi="Times New Roman" w:cs="Times New Roman"/>
          <w:color w:val="auto"/>
          <w:highlight w:val="none"/>
        </w:rPr>
        <w:t>关于全面实施预算绩效管理的意见》（中发〔2018〕34号）、《项目支出绩效评价管理办法》（财预〔2020〕10号）、《关于进一步加强和规范第三方机构参与预算绩效管理的通知》（新财预〔2021〕49号）等系列文件的要求，受</w:t>
      </w:r>
      <w:r>
        <w:rPr>
          <w:rFonts w:hint="default" w:ascii="Times New Roman" w:hAnsi="Times New Roman" w:cs="Times New Roman"/>
          <w:color w:val="auto"/>
          <w:lang w:eastAsia="zh-CN"/>
        </w:rPr>
        <w:t>伊宁县财政局</w:t>
      </w:r>
      <w:r>
        <w:rPr>
          <w:rFonts w:hint="default" w:ascii="Times New Roman" w:hAnsi="Times New Roman" w:cs="Times New Roman"/>
          <w:color w:val="auto"/>
          <w:highlight w:val="none"/>
        </w:rPr>
        <w:t>的委托，新疆驰远天合有限责任会计师事务所以第三方社会评价机构的身份，承担了</w:t>
      </w:r>
      <w:r>
        <w:rPr>
          <w:rFonts w:hint="default" w:ascii="Times New Roman" w:hAnsi="Times New Roman" w:cs="Times New Roman"/>
          <w:color w:val="auto"/>
          <w:lang w:eastAsia="zh-CN"/>
        </w:rPr>
        <w:t>伊宁县</w:t>
      </w:r>
      <w:r>
        <w:rPr>
          <w:rFonts w:hint="default" w:ascii="Times New Roman" w:hAnsi="Times New Roman" w:cs="Times New Roman"/>
          <w:color w:val="auto"/>
        </w:rPr>
        <w:t>“</w:t>
      </w:r>
      <w:r>
        <w:rPr>
          <w:rFonts w:hint="default" w:ascii="Times New Roman" w:hAnsi="Times New Roman" w:cs="Times New Roman"/>
          <w:color w:val="auto"/>
          <w:lang w:eastAsia="zh-CN"/>
        </w:rPr>
        <w:t>福彩圆梦</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lang w:eastAsia="zh-CN"/>
        </w:rPr>
        <w:t>孤儿助学工程”</w:t>
      </w:r>
      <w:r>
        <w:rPr>
          <w:rFonts w:hint="eastAsia" w:cs="Times New Roman"/>
          <w:color w:val="auto"/>
          <w:lang w:val="en-US" w:eastAsia="zh-CN"/>
        </w:rPr>
        <w:t>项目</w:t>
      </w:r>
      <w:r>
        <w:rPr>
          <w:rFonts w:hint="default" w:ascii="Times New Roman" w:hAnsi="Times New Roman" w:cs="Times New Roman"/>
          <w:color w:val="auto"/>
          <w:highlight w:val="none"/>
        </w:rPr>
        <w:t>的绩效评价工作并形成绩效评价报告</w:t>
      </w:r>
      <w:r>
        <w:rPr>
          <w:rFonts w:hint="eastAsia" w:cs="Times New Roman"/>
          <w:color w:val="auto"/>
          <w:highlight w:val="none"/>
          <w:lang w:eastAsia="zh-CN"/>
        </w:rPr>
        <w:t>，</w:t>
      </w:r>
      <w:r>
        <w:rPr>
          <w:rFonts w:hint="default" w:ascii="Times New Roman" w:hAnsi="Times New Roman" w:cs="Times New Roman"/>
          <w:color w:val="auto"/>
          <w:lang w:eastAsia="zh-CN"/>
        </w:rPr>
        <w:t>伊宁县</w:t>
      </w:r>
      <w:r>
        <w:rPr>
          <w:rFonts w:hint="default" w:ascii="Times New Roman" w:hAnsi="Times New Roman" w:cs="Times New Roman"/>
          <w:color w:val="auto"/>
        </w:rPr>
        <w:t>民政局</w:t>
      </w:r>
      <w:r>
        <w:rPr>
          <w:rFonts w:hint="default" w:ascii="Times New Roman" w:hAnsi="Times New Roman" w:cs="Times New Roman"/>
          <w:color w:val="auto"/>
          <w:highlight w:val="none"/>
        </w:rPr>
        <w:t>负责提供与本次绩效评价相关的项目资料并保证项目资料的真实、合法、准确和完整，现将项目绩效评价情况报告如下：</w:t>
      </w:r>
    </w:p>
    <w:p w14:paraId="3FDA7063">
      <w:pPr>
        <w:pStyle w:val="4"/>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lang w:eastAsia="zh-CN"/>
        </w:rPr>
      </w:pPr>
      <w:bookmarkStart w:id="30" w:name="_Toc28830"/>
      <w:r>
        <w:rPr>
          <w:rFonts w:hint="default"/>
          <w:lang w:val="en-US" w:eastAsia="zh-CN"/>
        </w:rPr>
        <w:t>一、基本情况</w:t>
      </w:r>
      <w:bookmarkEnd w:id="30"/>
    </w:p>
    <w:p w14:paraId="23627638">
      <w:pPr>
        <w:pStyle w:val="5"/>
        <w:pageBreakBefore w:val="0"/>
        <w:widowControl/>
        <w:kinsoku/>
        <w:wordWrap/>
        <w:overflowPunct/>
        <w:topLinePunct w:val="0"/>
        <w:autoSpaceDE/>
        <w:autoSpaceDN/>
        <w:bidi w:val="0"/>
        <w:adjustRightInd/>
        <w:snapToGrid/>
        <w:spacing w:before="0" w:after="0" w:line="360" w:lineRule="auto"/>
        <w:ind w:firstLine="0"/>
        <w:textAlignment w:val="auto"/>
        <w:rPr>
          <w:rFonts w:hint="default"/>
        </w:rPr>
      </w:pPr>
      <w:bookmarkStart w:id="31" w:name="_Toc327"/>
      <w:bookmarkStart w:id="32" w:name="_Toc19237"/>
      <w:bookmarkStart w:id="33" w:name="_Toc5761"/>
      <w:bookmarkStart w:id="34" w:name="_Toc22837"/>
      <w:r>
        <w:rPr>
          <w:rFonts w:hint="default"/>
        </w:rPr>
        <w:t>（一）</w:t>
      </w:r>
      <w:r>
        <w:rPr>
          <w:rFonts w:hint="default"/>
          <w:lang w:val="en-US" w:eastAsia="zh-CN"/>
        </w:rPr>
        <w:t>项目概况</w:t>
      </w:r>
      <w:bookmarkEnd w:id="31"/>
      <w:bookmarkEnd w:id="32"/>
      <w:bookmarkEnd w:id="33"/>
      <w:bookmarkEnd w:id="34"/>
    </w:p>
    <w:p w14:paraId="5965819C">
      <w:pPr>
        <w:pStyle w:val="6"/>
        <w:spacing w:line="360" w:lineRule="auto"/>
        <w:rPr>
          <w:rFonts w:hint="default"/>
          <w:lang w:val="en-US" w:eastAsia="zh-CN"/>
        </w:rPr>
      </w:pPr>
      <w:r>
        <w:rPr>
          <w:rFonts w:hint="default"/>
        </w:rPr>
        <w:t>1.</w:t>
      </w:r>
      <w:r>
        <w:rPr>
          <w:rFonts w:hint="default"/>
          <w:lang w:val="en-US" w:eastAsia="zh-CN"/>
        </w:rPr>
        <w:t>项目立项背景及目的</w:t>
      </w:r>
    </w:p>
    <w:p w14:paraId="73889048">
      <w:pPr>
        <w:spacing w:line="360" w:lineRule="auto"/>
        <w:ind w:firstLine="420"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孤儿作为社会中的弱势群体，其成长和教育问题一直备受关注。由于家庭经济条件的限制，许多孤儿在成年后难以继续接受高等教育。因此，为他们提供经济援助，帮助他们完成学业，成为社会的有用之才，具有重要的现实意义。根据《民政部办公厅关于印发</w:t>
      </w:r>
      <w:r>
        <w:rPr>
          <w:rFonts w:hint="eastAsia" w:cs="Times New Roman"/>
          <w:color w:val="auto"/>
          <w:highlight w:val="none"/>
          <w:lang w:eastAsia="zh-CN"/>
        </w:rPr>
        <w:t>〈</w:t>
      </w:r>
      <w:r>
        <w:rPr>
          <w:rFonts w:hint="default" w:ascii="Times New Roman" w:hAnsi="Times New Roman" w:cs="Times New Roman"/>
          <w:color w:val="auto"/>
          <w:highlight w:val="none"/>
        </w:rPr>
        <w:t>“福彩圆梦•孤儿助学工程”项目实施暂行办法</w:t>
      </w:r>
      <w:r>
        <w:rPr>
          <w:rFonts w:hint="eastAsia" w:cs="Times New Roman"/>
          <w:color w:val="auto"/>
          <w:highlight w:val="none"/>
          <w:lang w:eastAsia="zh-CN"/>
        </w:rPr>
        <w:t>〉的通知》</w:t>
      </w:r>
      <w:r>
        <w:rPr>
          <w:rFonts w:hint="default" w:ascii="Times New Roman" w:hAnsi="Times New Roman" w:cs="Times New Roman"/>
          <w:color w:val="auto"/>
          <w:highlight w:val="none"/>
        </w:rPr>
        <w:t>（民办发〔2019〕24号）精神，为进一步健全孤儿保障制度，维护孤儿受教育权利，践行福彩救孤济困宗旨，民政部自2019年起利用彩票公益金，实施“福彩圆梦·孤儿助学工程”项目，对认定为孤儿身份、年满18岁后在普通全日制本科学校、普通全日制专科学校、高等职业学校等高等院校和中等职业学校就读中专、大专、本科学生和硕士研究生的孤儿进行补助。</w:t>
      </w:r>
    </w:p>
    <w:p w14:paraId="74278D1E">
      <w:pPr>
        <w:spacing w:line="360" w:lineRule="auto"/>
        <w:ind w:firstLine="420"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根据</w:t>
      </w:r>
      <w:r>
        <w:rPr>
          <w:rFonts w:hint="default" w:ascii="Times New Roman" w:hAnsi="Times New Roman" w:cs="Times New Roman"/>
          <w:color w:val="auto"/>
          <w:highlight w:val="none"/>
          <w:lang w:eastAsia="zh-CN"/>
        </w:rPr>
        <w:t>《关于提前下达2024年中央专项彩票公益金支持地方社会公益事业发展（社会福利）资金预算的通知》（伊州财综〔2023〕36号）</w:t>
      </w:r>
      <w:r>
        <w:rPr>
          <w:rFonts w:hint="default" w:ascii="Times New Roman" w:hAnsi="Times New Roman" w:cs="Times New Roman"/>
          <w:color w:val="auto"/>
          <w:highlight w:val="none"/>
        </w:rPr>
        <w:t>，伊犁州在</w:t>
      </w:r>
      <w:r>
        <w:rPr>
          <w:rFonts w:hint="default" w:ascii="Times New Roman" w:hAnsi="Times New Roman" w:cs="Times New Roman"/>
          <w:color w:val="auto"/>
          <w:highlight w:val="none"/>
          <w:lang w:eastAsia="zh-CN"/>
        </w:rPr>
        <w:t>2024</w:t>
      </w:r>
      <w:r>
        <w:rPr>
          <w:rFonts w:hint="default" w:ascii="Times New Roman" w:hAnsi="Times New Roman" w:cs="Times New Roman"/>
          <w:color w:val="auto"/>
          <w:highlight w:val="none"/>
        </w:rPr>
        <w:t>年共下达</w:t>
      </w:r>
      <w:r>
        <w:rPr>
          <w:rFonts w:hint="default" w:ascii="Times New Roman" w:hAnsi="Times New Roman" w:cs="Times New Roman"/>
          <w:color w:val="auto"/>
          <w:highlight w:val="none"/>
          <w:lang w:eastAsia="zh-CN"/>
        </w:rPr>
        <w:t>伊宁县</w:t>
      </w:r>
      <w:r>
        <w:rPr>
          <w:rFonts w:hint="default" w:ascii="Times New Roman" w:hAnsi="Times New Roman" w:cs="Times New Roman"/>
          <w:color w:val="auto"/>
          <w:highlight w:val="none"/>
        </w:rPr>
        <w:t>“孤儿助学工程”专项补助资金</w:t>
      </w:r>
      <w:r>
        <w:rPr>
          <w:rFonts w:hint="default" w:ascii="Times New Roman" w:hAnsi="Times New Roman" w:cs="Times New Roman"/>
          <w:color w:val="auto"/>
          <w:highlight w:val="none"/>
          <w:lang w:eastAsia="zh-CN"/>
        </w:rPr>
        <w:t>18.00万元</w:t>
      </w:r>
      <w:r>
        <w:rPr>
          <w:rFonts w:hint="default" w:ascii="Times New Roman" w:hAnsi="Times New Roman" w:cs="Times New Roman"/>
          <w:color w:val="auto"/>
          <w:highlight w:val="none"/>
        </w:rPr>
        <w:t>，用于支持</w:t>
      </w:r>
      <w:r>
        <w:rPr>
          <w:rFonts w:hint="default" w:ascii="Times New Roman" w:hAnsi="Times New Roman" w:cs="Times New Roman"/>
          <w:color w:val="auto"/>
          <w:highlight w:val="none"/>
          <w:lang w:eastAsia="zh-CN"/>
        </w:rPr>
        <w:t>伊宁县</w:t>
      </w:r>
      <w:r>
        <w:rPr>
          <w:rFonts w:hint="default" w:ascii="Times New Roman" w:hAnsi="Times New Roman" w:cs="Times New Roman"/>
          <w:color w:val="auto"/>
          <w:highlight w:val="none"/>
        </w:rPr>
        <w:t>开展实施“</w:t>
      </w:r>
      <w:r>
        <w:rPr>
          <w:rFonts w:hint="default" w:ascii="Times New Roman" w:hAnsi="Times New Roman" w:cs="Times New Roman"/>
          <w:color w:val="auto"/>
          <w:highlight w:val="none"/>
          <w:lang w:eastAsia="zh-CN"/>
        </w:rPr>
        <w:t>福彩圆梦孤儿助学工程</w:t>
      </w:r>
      <w:r>
        <w:rPr>
          <w:rFonts w:hint="default" w:ascii="Times New Roman" w:hAnsi="Times New Roman" w:cs="Times New Roman"/>
          <w:color w:val="auto"/>
          <w:highlight w:val="none"/>
        </w:rPr>
        <w:t>”项目，保障孤儿就学权利，为大龄孤儿提供接受高等教育的机会，让受助学生感受到国家大家庭的关爱。</w:t>
      </w:r>
    </w:p>
    <w:p w14:paraId="482BE626">
      <w:pPr>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2</w:t>
      </w:r>
      <w:r>
        <w:rPr>
          <w:rFonts w:hint="default" w:ascii="Times New Roman" w:hAnsi="Times New Roman" w:cs="Times New Roman"/>
          <w:b/>
          <w:bCs/>
          <w:color w:val="auto"/>
        </w:rPr>
        <w:t>.</w:t>
      </w:r>
      <w:r>
        <w:rPr>
          <w:rFonts w:hint="default" w:ascii="Times New Roman" w:hAnsi="Times New Roman" w:cs="Times New Roman"/>
          <w:b/>
          <w:bCs/>
          <w:color w:val="auto"/>
          <w:lang w:val="en-US" w:eastAsia="zh-CN"/>
        </w:rPr>
        <w:t>项目基本情况</w:t>
      </w:r>
    </w:p>
    <w:p w14:paraId="1A79F8DB">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项目名称：</w:t>
      </w:r>
      <w:r>
        <w:rPr>
          <w:rFonts w:hint="default" w:ascii="Times New Roman" w:hAnsi="Times New Roman" w:cs="Times New Roman"/>
          <w:color w:val="auto"/>
          <w:highlight w:val="none"/>
          <w:lang w:val="en-US" w:eastAsia="zh-CN"/>
        </w:rPr>
        <w:t>伊宁县</w:t>
      </w:r>
      <w:r>
        <w:rPr>
          <w:rFonts w:hint="default" w:ascii="Times New Roman" w:hAnsi="Times New Roman" w:cs="Times New Roman"/>
          <w:color w:val="auto"/>
          <w:highlight w:val="none"/>
          <w:lang w:eastAsia="zh-CN"/>
        </w:rPr>
        <w:t>“福彩圆梦</w:t>
      </w:r>
      <w:r>
        <w:rPr>
          <w:rFonts w:hint="default" w:ascii="Times New Roman" w:hAnsi="Times New Roman" w:cs="Times New Roman"/>
          <w:color w:val="auto"/>
          <w:highlight w:val="none"/>
          <w:lang w:val="en-US" w:eastAsia="zh-CN"/>
        </w:rPr>
        <w:t xml:space="preserve"> </w:t>
      </w:r>
      <w:r>
        <w:rPr>
          <w:rFonts w:hint="default" w:ascii="Times New Roman" w:hAnsi="Times New Roman" w:cs="Times New Roman"/>
          <w:color w:val="auto"/>
          <w:highlight w:val="none"/>
          <w:lang w:eastAsia="zh-CN"/>
        </w:rPr>
        <w:t>孤儿助学工程”项目（以下简称“该项目”或“项目”）</w:t>
      </w:r>
    </w:p>
    <w:p w14:paraId="046F3504">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项目实施单位：伊宁县民政局</w:t>
      </w:r>
    </w:p>
    <w:p w14:paraId="54594793">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补助对象及范围：项目补助对象为伊宁县户籍，年满18周岁前被认定为孤儿身份且未被收养的群体。资助范围涵盖年满十八周岁后在普通全日制本科学校、普通全日制专科学校、高等职业学校等高等院校及中等职业学校就读的中专、大专、本科学生和硕士研究生，发放助学金，有效保障孤儿就学权利，为大龄孤儿提供接受高等教育的机会，让受助学生感受到国家大家庭的关爱。</w:t>
      </w:r>
    </w:p>
    <w:p w14:paraId="5627561A">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资助标准：根据《民政部办公厅关于印发</w:t>
      </w:r>
      <w:r>
        <w:rPr>
          <w:rFonts w:hint="eastAsia" w:cs="Times New Roman"/>
          <w:color w:val="auto"/>
          <w:highlight w:val="none"/>
          <w:lang w:eastAsia="zh-CN"/>
        </w:rPr>
        <w:t>〈</w:t>
      </w:r>
      <w:r>
        <w:rPr>
          <w:rFonts w:hint="default" w:ascii="Times New Roman" w:hAnsi="Times New Roman" w:cs="Times New Roman"/>
          <w:color w:val="auto"/>
          <w:highlight w:val="none"/>
          <w:lang w:eastAsia="zh-CN"/>
        </w:rPr>
        <w:t>“福彩圆梦•孤儿助学工程”项目实施暂行办法</w:t>
      </w:r>
      <w:r>
        <w:rPr>
          <w:rFonts w:hint="eastAsia" w:cs="Times New Roman"/>
          <w:color w:val="auto"/>
          <w:highlight w:val="none"/>
          <w:lang w:eastAsia="zh-CN"/>
        </w:rPr>
        <w:t>〉的通知》</w:t>
      </w:r>
      <w:r>
        <w:rPr>
          <w:rFonts w:hint="default" w:ascii="Times New Roman" w:hAnsi="Times New Roman" w:cs="Times New Roman"/>
          <w:color w:val="auto"/>
          <w:highlight w:val="none"/>
          <w:lang w:eastAsia="zh-CN"/>
        </w:rPr>
        <w:t>（民办发〔2019〕24号）</w:t>
      </w:r>
      <w:r>
        <w:rPr>
          <w:rFonts w:hint="default" w:cs="Times New Roman"/>
          <w:color w:val="auto"/>
          <w:highlight w:val="none"/>
          <w:lang w:val="en-US" w:eastAsia="zh-CN"/>
        </w:rPr>
        <w:t>要求，该项目为符合条件的受助人</w:t>
      </w:r>
      <w:r>
        <w:rPr>
          <w:rFonts w:hint="default" w:ascii="Times New Roman" w:hAnsi="Times New Roman" w:cs="Times New Roman"/>
          <w:color w:val="auto"/>
          <w:highlight w:val="none"/>
          <w:lang w:eastAsia="zh-CN"/>
        </w:rPr>
        <w:t>每人每学年</w:t>
      </w:r>
      <w:r>
        <w:rPr>
          <w:rFonts w:hint="default" w:ascii="Times New Roman" w:hAnsi="Times New Roman" w:cs="Times New Roman"/>
          <w:color w:val="auto"/>
          <w:highlight w:val="none"/>
          <w:lang w:val="en-US" w:eastAsia="zh-CN"/>
        </w:rPr>
        <w:t>发放</w:t>
      </w:r>
      <w:r>
        <w:rPr>
          <w:rFonts w:hint="default" w:ascii="Times New Roman" w:hAnsi="Times New Roman" w:cs="Times New Roman"/>
          <w:color w:val="auto"/>
          <w:highlight w:val="none"/>
          <w:lang w:eastAsia="zh-CN"/>
        </w:rPr>
        <w:t>1</w:t>
      </w:r>
      <w:r>
        <w:rPr>
          <w:rFonts w:hint="default" w:ascii="Times New Roman" w:hAnsi="Times New Roman" w:cs="Times New Roman"/>
          <w:color w:val="auto"/>
          <w:highlight w:val="none"/>
          <w:lang w:val="en-US" w:eastAsia="zh-CN"/>
        </w:rPr>
        <w:t>.00</w:t>
      </w:r>
      <w:r>
        <w:rPr>
          <w:rFonts w:hint="default" w:ascii="Times New Roman" w:hAnsi="Times New Roman" w:cs="Times New Roman"/>
          <w:color w:val="auto"/>
          <w:highlight w:val="none"/>
          <w:lang w:eastAsia="zh-CN"/>
        </w:rPr>
        <w:t>万元助学金。</w:t>
      </w:r>
    </w:p>
    <w:p w14:paraId="64C8900C">
      <w:pPr>
        <w:pStyle w:val="5"/>
        <w:pageBreakBefore w:val="0"/>
        <w:widowControl w:val="0"/>
        <w:kinsoku/>
        <w:wordWrap/>
        <w:overflowPunct/>
        <w:topLinePunct w:val="0"/>
        <w:autoSpaceDE/>
        <w:autoSpaceDN/>
        <w:bidi w:val="0"/>
        <w:adjustRightInd w:val="0"/>
        <w:snapToGrid w:val="0"/>
        <w:spacing w:before="0" w:after="0" w:line="360" w:lineRule="auto"/>
        <w:ind w:firstLine="482"/>
        <w:textAlignment w:val="auto"/>
        <w:rPr>
          <w:rFonts w:ascii="Times New Roman" w:hAnsi="Times New Roman" w:cs="Times New Roman"/>
          <w:color w:val="auto"/>
        </w:rPr>
      </w:pPr>
      <w:bookmarkStart w:id="35" w:name="_Toc28956"/>
      <w:r>
        <w:rPr>
          <w:rFonts w:hint="default" w:ascii="Times New Roman" w:hAnsi="Times New Roman" w:cs="Times New Roman"/>
          <w:color w:val="auto"/>
        </w:rPr>
        <w:t>（二）</w:t>
      </w:r>
      <w:r>
        <w:rPr>
          <w:rFonts w:ascii="Times New Roman" w:hAnsi="Times New Roman" w:cs="Times New Roman"/>
          <w:color w:val="auto"/>
        </w:rPr>
        <w:t>资金投入和使用情况</w:t>
      </w:r>
      <w:bookmarkEnd w:id="35"/>
    </w:p>
    <w:p w14:paraId="33665631">
      <w:pPr>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b/>
          <w:bCs/>
          <w:color w:val="auto"/>
        </w:rPr>
      </w:pPr>
      <w:r>
        <w:rPr>
          <w:rFonts w:hint="default" w:ascii="Times New Roman" w:hAnsi="Times New Roman" w:cs="Times New Roman"/>
          <w:b/>
          <w:bCs/>
          <w:color w:val="auto"/>
        </w:rPr>
        <w:t>1.预算安排情况</w:t>
      </w:r>
    </w:p>
    <w:p w14:paraId="529FEEF4">
      <w:pPr>
        <w:pageBreakBefore w:val="0"/>
        <w:widowControl w:val="0"/>
        <w:kinsoku/>
        <w:wordWrap/>
        <w:overflowPunct/>
        <w:topLinePunct w:val="0"/>
        <w:autoSpaceDE/>
        <w:autoSpaceDN/>
        <w:bidi w:val="0"/>
        <w:adjustRightInd w:val="0"/>
        <w:snapToGrid w:val="0"/>
        <w:spacing w:line="360" w:lineRule="auto"/>
        <w:ind w:firstLine="560"/>
        <w:textAlignment w:val="auto"/>
        <w:rPr>
          <w:rFonts w:hint="default" w:ascii="Times New Roman" w:hAnsi="Times New Roman" w:cs="Times New Roman" w:eastAsiaTheme="minorEastAsia"/>
          <w:color w:val="auto"/>
          <w:highlight w:val="none"/>
        </w:rPr>
      </w:pPr>
      <w:r>
        <w:rPr>
          <w:rFonts w:hint="default" w:ascii="Times New Roman" w:hAnsi="Times New Roman" w:cs="Times New Roman"/>
          <w:color w:val="auto"/>
          <w:highlight w:val="none"/>
          <w:lang w:val="en-US" w:eastAsia="zh-CN"/>
        </w:rPr>
        <w:t>该项目预算资金总额为18.00万元，资金来源为</w:t>
      </w:r>
      <w:r>
        <w:rPr>
          <w:rFonts w:ascii="Times New Roman" w:hAnsi="Times New Roman" w:cs="Times New Roman"/>
          <w:color w:val="auto"/>
        </w:rPr>
        <w:t>中央专项彩票公益金支持</w:t>
      </w:r>
      <w:r>
        <w:rPr>
          <w:rFonts w:hint="default" w:ascii="Times New Roman" w:hAnsi="Times New Roman" w:cs="Times New Roman"/>
          <w:color w:val="auto"/>
          <w:lang w:eastAsia="zh-CN"/>
        </w:rPr>
        <w:t>地方社会公益事业发展（社会福利）资金</w:t>
      </w:r>
      <w:r>
        <w:rPr>
          <w:rFonts w:hint="default" w:ascii="Times New Roman" w:hAnsi="Times New Roman" w:cs="Times New Roman"/>
          <w:color w:val="auto"/>
          <w:highlight w:val="none"/>
          <w:lang w:val="en-US" w:eastAsia="zh-CN"/>
        </w:rPr>
        <w:t>。</w:t>
      </w:r>
    </w:p>
    <w:p w14:paraId="0E7246BD">
      <w:pPr>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2.</w:t>
      </w:r>
      <w:r>
        <w:rPr>
          <w:rFonts w:hint="default" w:ascii="Times New Roman" w:hAnsi="Times New Roman" w:cs="Times New Roman"/>
          <w:b/>
          <w:bCs/>
          <w:color w:val="auto"/>
        </w:rPr>
        <w:t>资金到位及使用情况</w:t>
      </w:r>
    </w:p>
    <w:p w14:paraId="2405B2BA">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lang w:eastAsia="zh-CN"/>
        </w:rPr>
      </w:pPr>
      <w:r>
        <w:rPr>
          <w:rFonts w:hint="default" w:ascii="Times New Roman" w:hAnsi="Times New Roman" w:cs="Times New Roman"/>
          <w:color w:val="auto"/>
          <w:lang w:eastAsia="zh-CN"/>
        </w:rPr>
        <w:t>该项目共下达2024年中央专项彩票公益金支持地方社会公益事业发展（社会福利）资金18.00万元，截至2024年12月31日，实际支出资金总额为18.00万元</w:t>
      </w:r>
      <w:r>
        <w:rPr>
          <w:rFonts w:hint="default" w:ascii="Times New Roman" w:hAnsi="Times New Roman" w:cs="Times New Roman"/>
          <w:color w:val="auto"/>
          <w:lang w:val="en-US" w:eastAsia="zh-CN"/>
        </w:rPr>
        <w:t>，</w:t>
      </w:r>
      <w:r>
        <w:rPr>
          <w:rFonts w:hint="default" w:ascii="Times New Roman" w:hAnsi="Times New Roman" w:cs="Times New Roman"/>
          <w:color w:val="auto"/>
          <w:lang w:eastAsia="zh-CN"/>
        </w:rPr>
        <w:t>预算资金执行率为100.00%，</w:t>
      </w:r>
      <w:r>
        <w:rPr>
          <w:rFonts w:hint="default" w:ascii="Times New Roman" w:hAnsi="Times New Roman" w:cs="Times New Roman"/>
          <w:color w:val="auto"/>
          <w:lang w:val="en-US" w:eastAsia="zh-CN"/>
        </w:rPr>
        <w:t>其中：为已入学的12名正常顺延学位的孤儿发放一学年助学补助金，按照每人每学年1.00万元的标准，共计发放12.00万元；1名未满18周岁正常顺延学位的孤儿按照每人每学年1.00万元的标准，发放半学年助学补助金0.50万元；11名孤儿为毕业生、新生按照每人每学年1.00万元的标准，发放半学年助学补助金5.50万元。</w:t>
      </w:r>
    </w:p>
    <w:p w14:paraId="113C0F17">
      <w:pPr>
        <w:pStyle w:val="5"/>
        <w:pageBreakBefore w:val="0"/>
        <w:widowControl w:val="0"/>
        <w:kinsoku/>
        <w:wordWrap/>
        <w:overflowPunct/>
        <w:topLinePunct w:val="0"/>
        <w:autoSpaceDE/>
        <w:autoSpaceDN/>
        <w:bidi w:val="0"/>
        <w:adjustRightInd w:val="0"/>
        <w:snapToGrid w:val="0"/>
        <w:spacing w:before="0" w:after="0" w:line="360" w:lineRule="auto"/>
        <w:ind w:firstLine="482"/>
        <w:textAlignment w:val="auto"/>
        <w:rPr>
          <w:rFonts w:ascii="Times New Roman" w:hAnsi="Times New Roman" w:cs="Times New Roman"/>
          <w:color w:val="auto"/>
        </w:rPr>
      </w:pPr>
      <w:bookmarkStart w:id="36" w:name="_Toc8978"/>
      <w:r>
        <w:rPr>
          <w:rFonts w:hint="default" w:ascii="Times New Roman" w:hAnsi="Times New Roman" w:cs="Times New Roman"/>
          <w:color w:val="auto"/>
        </w:rPr>
        <w:t>（三）</w:t>
      </w:r>
      <w:r>
        <w:rPr>
          <w:rFonts w:ascii="Times New Roman" w:hAnsi="Times New Roman" w:cs="Times New Roman"/>
          <w:color w:val="auto"/>
        </w:rPr>
        <w:t>项目实施情况</w:t>
      </w:r>
      <w:bookmarkEnd w:id="36"/>
    </w:p>
    <w:p w14:paraId="4B3EFA0C">
      <w:pPr>
        <w:pStyle w:val="6"/>
        <w:keepNext w:val="0"/>
        <w:keepLines w:val="0"/>
        <w:spacing w:line="360" w:lineRule="auto"/>
        <w:ind w:firstLine="422"/>
        <w:rPr>
          <w:rFonts w:hint="default" w:ascii="Times New Roman" w:hAnsi="Times New Roman" w:cs="Times New Roman" w:eastAsiaTheme="minorEastAsia"/>
          <w:b/>
          <w:bCs/>
          <w:color w:val="auto"/>
          <w:kern w:val="2"/>
          <w:sz w:val="21"/>
          <w:szCs w:val="21"/>
          <w:highlight w:val="none"/>
          <w:lang w:val="en-US" w:eastAsia="zh-CN" w:bidi="ar-SA"/>
        </w:rPr>
      </w:pPr>
      <w:bookmarkStart w:id="37" w:name="_Toc68364659"/>
      <w:r>
        <w:rPr>
          <w:rFonts w:hint="default" w:ascii="Times New Roman" w:hAnsi="Times New Roman" w:cs="Times New Roman"/>
          <w:b/>
          <w:bCs/>
          <w:color w:val="auto"/>
          <w:kern w:val="2"/>
          <w:sz w:val="21"/>
          <w:szCs w:val="21"/>
          <w:highlight w:val="none"/>
          <w:lang w:val="en-US" w:eastAsia="zh-CN" w:bidi="ar-SA"/>
        </w:rPr>
        <w:t>1.</w:t>
      </w:r>
      <w:r>
        <w:rPr>
          <w:rFonts w:hint="default" w:ascii="Times New Roman" w:hAnsi="Times New Roman" w:cs="Times New Roman" w:eastAsiaTheme="minorEastAsia"/>
          <w:b/>
          <w:bCs/>
          <w:color w:val="auto"/>
          <w:kern w:val="2"/>
          <w:sz w:val="21"/>
          <w:szCs w:val="21"/>
          <w:highlight w:val="none"/>
          <w:lang w:val="en-US" w:eastAsia="zh-CN" w:bidi="ar-SA"/>
        </w:rPr>
        <w:t>补助对象的认定</w:t>
      </w:r>
    </w:p>
    <w:p w14:paraId="413D4929">
      <w:pPr>
        <w:spacing w:line="360" w:lineRule="auto"/>
        <w:ind w:firstLine="420"/>
        <w:rPr>
          <w:rFonts w:hint="default" w:ascii="Times New Roman" w:hAnsi="Times New Roman" w:cs="Times New Roman" w:eastAsiaTheme="minorEastAsia"/>
          <w:b w:val="0"/>
          <w:bCs w:val="0"/>
          <w:color w:val="auto"/>
          <w:kern w:val="2"/>
          <w:sz w:val="21"/>
          <w:szCs w:val="21"/>
          <w:highlight w:val="none"/>
          <w:lang w:val="en-US" w:eastAsia="zh-CN" w:bidi="ar-SA"/>
        </w:rPr>
      </w:pPr>
      <w:r>
        <w:rPr>
          <w:rFonts w:hint="default" w:ascii="Times New Roman" w:hAnsi="Times New Roman" w:cs="Times New Roman" w:eastAsiaTheme="minorEastAsia"/>
          <w:b w:val="0"/>
          <w:bCs w:val="0"/>
          <w:color w:val="auto"/>
          <w:kern w:val="2"/>
          <w:sz w:val="21"/>
          <w:szCs w:val="21"/>
          <w:highlight w:val="none"/>
          <w:lang w:val="en-US" w:eastAsia="zh-CN" w:bidi="ar-SA"/>
        </w:rPr>
        <w:t>补助对象：年满十八周岁后在普通全日制本科学校、普通全日制专科学校、高等职业学校等高等院校及中等职业学校就读的中专、大专、本科学生和硕士研究生孤儿。</w:t>
      </w:r>
    </w:p>
    <w:p w14:paraId="5C447FF8">
      <w:pPr>
        <w:spacing w:line="360" w:lineRule="auto"/>
        <w:ind w:firstLine="420"/>
        <w:rPr>
          <w:rFonts w:hint="default" w:ascii="Times New Roman" w:hAnsi="Times New Roman" w:cs="Times New Roman" w:eastAsiaTheme="minorEastAsia"/>
          <w:b w:val="0"/>
          <w:bCs w:val="0"/>
          <w:color w:val="auto"/>
          <w:kern w:val="2"/>
          <w:sz w:val="21"/>
          <w:szCs w:val="21"/>
          <w:highlight w:val="none"/>
          <w:lang w:val="en-US" w:eastAsia="zh-CN" w:bidi="ar-SA"/>
        </w:rPr>
      </w:pPr>
      <w:r>
        <w:rPr>
          <w:rFonts w:hint="default" w:ascii="Times New Roman" w:hAnsi="Times New Roman" w:cs="Times New Roman" w:eastAsiaTheme="minorEastAsia"/>
          <w:b w:val="0"/>
          <w:bCs w:val="0"/>
          <w:color w:val="auto"/>
          <w:kern w:val="2"/>
          <w:sz w:val="21"/>
          <w:szCs w:val="21"/>
          <w:highlight w:val="none"/>
          <w:lang w:val="en-US" w:eastAsia="zh-CN" w:bidi="ar-SA"/>
        </w:rPr>
        <w:t>申请流程：社会散居孤儿向户籍所在地的</w:t>
      </w:r>
      <w:r>
        <w:rPr>
          <w:rFonts w:hint="default" w:ascii="Times New Roman" w:hAnsi="Times New Roman" w:cs="Times New Roman"/>
          <w:b w:val="0"/>
          <w:bCs w:val="0"/>
          <w:color w:val="auto"/>
          <w:kern w:val="2"/>
          <w:sz w:val="21"/>
          <w:szCs w:val="21"/>
          <w:highlight w:val="none"/>
          <w:lang w:val="en-US" w:eastAsia="zh-CN" w:bidi="ar-SA"/>
        </w:rPr>
        <w:t>伊宁</w:t>
      </w:r>
      <w:r>
        <w:rPr>
          <w:rFonts w:hint="default" w:ascii="Times New Roman" w:hAnsi="Times New Roman" w:cs="Times New Roman" w:eastAsiaTheme="minorEastAsia"/>
          <w:b w:val="0"/>
          <w:bCs w:val="0"/>
          <w:color w:val="auto"/>
          <w:kern w:val="2"/>
          <w:sz w:val="21"/>
          <w:szCs w:val="21"/>
          <w:highlight w:val="none"/>
          <w:lang w:val="en-US" w:eastAsia="zh-CN" w:bidi="ar-SA"/>
        </w:rPr>
        <w:t>县民政部门或乡镇人民政府（街道办事处）提出申请，并提交相关证明材料。儿童福利机构收留抚养的孤儿向</w:t>
      </w:r>
      <w:r>
        <w:rPr>
          <w:rFonts w:hint="default" w:ascii="Times New Roman" w:hAnsi="Times New Roman" w:cs="Times New Roman"/>
          <w:b w:val="0"/>
          <w:bCs w:val="0"/>
          <w:color w:val="auto"/>
          <w:kern w:val="2"/>
          <w:sz w:val="21"/>
          <w:szCs w:val="21"/>
          <w:highlight w:val="none"/>
          <w:lang w:val="en-US" w:eastAsia="zh-CN" w:bidi="ar-SA"/>
        </w:rPr>
        <w:t>伊宁</w:t>
      </w:r>
      <w:r>
        <w:rPr>
          <w:rFonts w:hint="default" w:ascii="Times New Roman" w:hAnsi="Times New Roman" w:cs="Times New Roman" w:eastAsiaTheme="minorEastAsia"/>
          <w:b w:val="0"/>
          <w:bCs w:val="0"/>
          <w:color w:val="auto"/>
          <w:kern w:val="2"/>
          <w:sz w:val="21"/>
          <w:szCs w:val="21"/>
          <w:highlight w:val="none"/>
          <w:lang w:val="en-US" w:eastAsia="zh-CN" w:bidi="ar-SA"/>
        </w:rPr>
        <w:t>县民政局提出申请。</w:t>
      </w:r>
    </w:p>
    <w:p w14:paraId="6F71B5F5">
      <w:pPr>
        <w:spacing w:line="360" w:lineRule="auto"/>
        <w:ind w:firstLine="420"/>
        <w:rPr>
          <w:rFonts w:hint="default" w:ascii="Times New Roman" w:hAnsi="Times New Roman" w:cs="Times New Roman" w:eastAsiaTheme="minorEastAsia"/>
          <w:b w:val="0"/>
          <w:bCs w:val="0"/>
          <w:color w:val="auto"/>
          <w:kern w:val="2"/>
          <w:sz w:val="21"/>
          <w:szCs w:val="21"/>
          <w:highlight w:val="none"/>
          <w:lang w:val="en-US" w:eastAsia="zh-CN" w:bidi="ar-SA"/>
        </w:rPr>
      </w:pPr>
      <w:r>
        <w:rPr>
          <w:rFonts w:hint="default" w:ascii="Times New Roman" w:hAnsi="Times New Roman" w:cs="Times New Roman" w:eastAsiaTheme="minorEastAsia"/>
          <w:b w:val="0"/>
          <w:bCs w:val="0"/>
          <w:color w:val="auto"/>
          <w:kern w:val="2"/>
          <w:sz w:val="21"/>
          <w:szCs w:val="21"/>
          <w:highlight w:val="none"/>
          <w:lang w:val="en-US" w:eastAsia="zh-CN" w:bidi="ar-SA"/>
        </w:rPr>
        <w:t>申请材料：包括助学金申请书、身份证复印件、学籍证明、银行卡复印件等。</w:t>
      </w:r>
    </w:p>
    <w:p w14:paraId="74A954F8">
      <w:pPr>
        <w:spacing w:line="360" w:lineRule="auto"/>
        <w:ind w:firstLine="420"/>
        <w:rPr>
          <w:rFonts w:hint="default" w:ascii="Times New Roman" w:hAnsi="Times New Roman" w:cs="Times New Roman" w:eastAsiaTheme="minorEastAsia"/>
          <w:b w:val="0"/>
          <w:bCs w:val="0"/>
          <w:color w:val="auto"/>
          <w:kern w:val="2"/>
          <w:sz w:val="21"/>
          <w:szCs w:val="21"/>
          <w:highlight w:val="none"/>
          <w:lang w:val="en-US" w:eastAsia="zh-CN" w:bidi="ar-SA"/>
        </w:rPr>
      </w:pPr>
      <w:r>
        <w:rPr>
          <w:rFonts w:hint="default" w:ascii="Times New Roman" w:hAnsi="Times New Roman" w:cs="Times New Roman" w:eastAsiaTheme="minorEastAsia"/>
          <w:b w:val="0"/>
          <w:bCs w:val="0"/>
          <w:color w:val="auto"/>
          <w:kern w:val="2"/>
          <w:sz w:val="21"/>
          <w:szCs w:val="21"/>
          <w:highlight w:val="none"/>
          <w:lang w:val="en-US" w:eastAsia="zh-CN" w:bidi="ar-SA"/>
        </w:rPr>
        <w:t>审批流程：</w:t>
      </w:r>
      <w:r>
        <w:rPr>
          <w:rFonts w:hint="eastAsia" w:cs="Times New Roman"/>
          <w:b w:val="0"/>
          <w:bCs w:val="0"/>
          <w:color w:val="auto"/>
          <w:kern w:val="2"/>
          <w:sz w:val="21"/>
          <w:szCs w:val="21"/>
          <w:highlight w:val="none"/>
          <w:lang w:val="en-US" w:eastAsia="zh-CN" w:bidi="ar-SA"/>
        </w:rPr>
        <w:t>伊宁县儿童福利院</w:t>
      </w:r>
      <w:r>
        <w:rPr>
          <w:rFonts w:hint="default" w:ascii="Times New Roman" w:hAnsi="Times New Roman" w:cs="Times New Roman" w:eastAsiaTheme="minorEastAsia"/>
          <w:b w:val="0"/>
          <w:bCs w:val="0"/>
          <w:color w:val="auto"/>
          <w:kern w:val="2"/>
          <w:sz w:val="21"/>
          <w:szCs w:val="21"/>
          <w:highlight w:val="none"/>
          <w:lang w:val="en-US" w:eastAsia="zh-CN" w:bidi="ar-SA"/>
        </w:rPr>
        <w:t>对申请材料进行审核，通过材料核实、家庭巡访等方式确认孤儿身份和就读情况。符合条件的孤儿纳入资助范围，并按照标准发放助学金。不符合条件的孤儿将被告知原因并取消申请资格。</w:t>
      </w:r>
    </w:p>
    <w:p w14:paraId="1664BF24">
      <w:pPr>
        <w:pStyle w:val="6"/>
        <w:keepNext w:val="0"/>
        <w:keepLines w:val="0"/>
        <w:spacing w:line="360" w:lineRule="auto"/>
        <w:ind w:firstLine="422"/>
        <w:rPr>
          <w:rFonts w:hint="default" w:ascii="Times New Roman" w:hAnsi="Times New Roman" w:cs="Times New Roman" w:eastAsiaTheme="minorEastAsia"/>
          <w:b/>
          <w:bCs/>
          <w:color w:val="auto"/>
          <w:kern w:val="2"/>
          <w:sz w:val="21"/>
          <w:szCs w:val="21"/>
          <w:highlight w:val="none"/>
          <w:lang w:val="en-US" w:eastAsia="zh-CN" w:bidi="ar-SA"/>
        </w:rPr>
      </w:pPr>
      <w:r>
        <w:rPr>
          <w:rFonts w:hint="default" w:ascii="Times New Roman" w:hAnsi="Times New Roman" w:cs="Times New Roman"/>
          <w:b/>
          <w:bCs/>
          <w:color w:val="auto"/>
          <w:kern w:val="2"/>
          <w:sz w:val="21"/>
          <w:szCs w:val="21"/>
          <w:highlight w:val="none"/>
          <w:lang w:val="en-US" w:eastAsia="zh-CN" w:bidi="ar-SA"/>
        </w:rPr>
        <w:t>2</w:t>
      </w:r>
      <w:r>
        <w:rPr>
          <w:rFonts w:hint="default" w:ascii="Times New Roman" w:hAnsi="Times New Roman" w:cs="Times New Roman" w:eastAsiaTheme="minorEastAsia"/>
          <w:b/>
          <w:bCs/>
          <w:color w:val="auto"/>
          <w:kern w:val="2"/>
          <w:sz w:val="21"/>
          <w:szCs w:val="21"/>
          <w:highlight w:val="none"/>
          <w:lang w:val="en-US" w:eastAsia="zh-CN" w:bidi="ar-SA"/>
        </w:rPr>
        <w:t>.补助发放程序</w:t>
      </w:r>
    </w:p>
    <w:p w14:paraId="4B13F191">
      <w:pPr>
        <w:spacing w:line="360" w:lineRule="auto"/>
        <w:ind w:firstLine="420"/>
        <w:rPr>
          <w:rFonts w:hint="default" w:ascii="Times New Roman" w:hAnsi="Times New Roman" w:cs="Times New Roman" w:eastAsiaTheme="minorEastAsia"/>
          <w:b w:val="0"/>
          <w:bCs w:val="0"/>
          <w:color w:val="auto"/>
          <w:kern w:val="2"/>
          <w:sz w:val="21"/>
          <w:szCs w:val="21"/>
          <w:highlight w:val="none"/>
          <w:lang w:val="en-US" w:eastAsia="zh-CN" w:bidi="ar-SA"/>
        </w:rPr>
      </w:pPr>
      <w:r>
        <w:rPr>
          <w:rFonts w:hint="default" w:ascii="Times New Roman" w:hAnsi="Times New Roman" w:cs="Times New Roman"/>
          <w:b w:val="0"/>
          <w:bCs w:val="0"/>
          <w:color w:val="auto"/>
          <w:kern w:val="2"/>
          <w:sz w:val="21"/>
          <w:szCs w:val="21"/>
          <w:highlight w:val="none"/>
          <w:lang w:val="en-US" w:eastAsia="zh-CN" w:bidi="ar-SA"/>
        </w:rPr>
        <w:t>伊宁</w:t>
      </w:r>
      <w:r>
        <w:rPr>
          <w:rFonts w:hint="default" w:ascii="Times New Roman" w:hAnsi="Times New Roman" w:cs="Times New Roman" w:eastAsiaTheme="minorEastAsia"/>
          <w:b w:val="0"/>
          <w:bCs w:val="0"/>
          <w:color w:val="auto"/>
          <w:kern w:val="2"/>
          <w:sz w:val="21"/>
          <w:szCs w:val="21"/>
          <w:highlight w:val="none"/>
          <w:lang w:val="en-US" w:eastAsia="zh-CN" w:bidi="ar-SA"/>
        </w:rPr>
        <w:t>县民政局完成受理、确认工作</w:t>
      </w:r>
      <w:r>
        <w:rPr>
          <w:rFonts w:hint="eastAsia" w:cs="Times New Roman"/>
          <w:b w:val="0"/>
          <w:bCs w:val="0"/>
          <w:color w:val="auto"/>
          <w:kern w:val="2"/>
          <w:sz w:val="21"/>
          <w:szCs w:val="21"/>
          <w:highlight w:val="none"/>
          <w:lang w:val="en-US" w:eastAsia="zh-CN" w:bidi="ar-SA"/>
        </w:rPr>
        <w:t>后</w:t>
      </w:r>
      <w:r>
        <w:rPr>
          <w:rFonts w:hint="default" w:ascii="Times New Roman" w:hAnsi="Times New Roman" w:cs="Times New Roman" w:eastAsiaTheme="minorEastAsia"/>
          <w:b w:val="0"/>
          <w:bCs w:val="0"/>
          <w:color w:val="auto"/>
          <w:kern w:val="2"/>
          <w:sz w:val="21"/>
          <w:szCs w:val="21"/>
          <w:highlight w:val="none"/>
          <w:lang w:val="en-US" w:eastAsia="zh-CN" w:bidi="ar-SA"/>
        </w:rPr>
        <w:t>通过社会化发放方式，</w:t>
      </w:r>
      <w:r>
        <w:rPr>
          <w:rFonts w:hint="eastAsia" w:cs="Times New Roman"/>
          <w:b w:val="0"/>
          <w:bCs w:val="0"/>
          <w:color w:val="auto"/>
          <w:kern w:val="2"/>
          <w:sz w:val="21"/>
          <w:szCs w:val="21"/>
          <w:highlight w:val="none"/>
          <w:lang w:val="en-US" w:eastAsia="zh-CN" w:bidi="ar-SA"/>
        </w:rPr>
        <w:t>将每年一次性</w:t>
      </w:r>
      <w:r>
        <w:rPr>
          <w:rFonts w:hint="default" w:ascii="Times New Roman" w:hAnsi="Times New Roman" w:cs="Times New Roman" w:eastAsiaTheme="minorEastAsia"/>
          <w:b w:val="0"/>
          <w:bCs w:val="0"/>
          <w:color w:val="auto"/>
          <w:kern w:val="2"/>
          <w:sz w:val="21"/>
          <w:szCs w:val="21"/>
          <w:highlight w:val="none"/>
          <w:lang w:val="en-US" w:eastAsia="zh-CN" w:bidi="ar-SA"/>
        </w:rPr>
        <w:t>助学金发放到受助孤儿本人的银行卡。助学金的发放从孤儿入学开始到孤儿毕业结束。</w:t>
      </w:r>
    </w:p>
    <w:p w14:paraId="4C38F2DD">
      <w:pPr>
        <w:pStyle w:val="6"/>
        <w:keepNext w:val="0"/>
        <w:keepLines w:val="0"/>
        <w:spacing w:line="360" w:lineRule="auto"/>
        <w:ind w:firstLine="422"/>
        <w:rPr>
          <w:rFonts w:hint="default" w:ascii="Times New Roman" w:hAnsi="Times New Roman" w:cs="Times New Roman" w:eastAsiaTheme="minorEastAsia"/>
          <w:b/>
          <w:bCs/>
          <w:color w:val="auto"/>
          <w:kern w:val="2"/>
          <w:sz w:val="21"/>
          <w:szCs w:val="21"/>
          <w:highlight w:val="none"/>
          <w:lang w:val="en-US" w:eastAsia="zh-CN" w:bidi="ar-SA"/>
        </w:rPr>
      </w:pPr>
      <w:r>
        <w:rPr>
          <w:rFonts w:hint="default" w:ascii="Times New Roman" w:hAnsi="Times New Roman" w:cs="Times New Roman"/>
          <w:b/>
          <w:bCs/>
          <w:color w:val="auto"/>
          <w:kern w:val="2"/>
          <w:sz w:val="21"/>
          <w:szCs w:val="21"/>
          <w:highlight w:val="none"/>
          <w:lang w:val="en-US" w:eastAsia="zh-CN" w:bidi="ar-SA"/>
        </w:rPr>
        <w:t>3</w:t>
      </w:r>
      <w:r>
        <w:rPr>
          <w:rFonts w:hint="default" w:ascii="Times New Roman" w:hAnsi="Times New Roman" w:cs="Times New Roman" w:eastAsiaTheme="minorEastAsia"/>
          <w:b/>
          <w:bCs/>
          <w:color w:val="auto"/>
          <w:kern w:val="2"/>
          <w:sz w:val="21"/>
          <w:szCs w:val="21"/>
          <w:highlight w:val="none"/>
          <w:lang w:val="en-US" w:eastAsia="zh-CN" w:bidi="ar-SA"/>
        </w:rPr>
        <w:t>.孤儿</w:t>
      </w:r>
      <w:r>
        <w:rPr>
          <w:rFonts w:hint="eastAsia" w:ascii="Times New Roman" w:hAnsi="Times New Roman" w:cs="Times New Roman"/>
          <w:b/>
          <w:bCs/>
          <w:color w:val="auto"/>
          <w:kern w:val="2"/>
          <w:sz w:val="21"/>
          <w:szCs w:val="21"/>
          <w:highlight w:val="none"/>
          <w:lang w:val="en-US" w:eastAsia="zh-CN" w:bidi="ar-SA"/>
        </w:rPr>
        <w:t>系统</w:t>
      </w:r>
      <w:r>
        <w:rPr>
          <w:rFonts w:hint="default" w:ascii="Times New Roman" w:hAnsi="Times New Roman" w:cs="Times New Roman" w:eastAsiaTheme="minorEastAsia"/>
          <w:b/>
          <w:bCs/>
          <w:color w:val="auto"/>
          <w:kern w:val="2"/>
          <w:sz w:val="21"/>
          <w:szCs w:val="21"/>
          <w:highlight w:val="none"/>
          <w:lang w:val="en-US" w:eastAsia="zh-CN" w:bidi="ar-SA"/>
        </w:rPr>
        <w:t>管理</w:t>
      </w:r>
    </w:p>
    <w:p w14:paraId="7F2204B2">
      <w:pPr>
        <w:spacing w:line="360" w:lineRule="auto"/>
        <w:ind w:firstLine="420"/>
        <w:rPr>
          <w:rFonts w:hint="default"/>
          <w:lang w:val="en-US" w:eastAsia="zh-CN"/>
        </w:rPr>
      </w:pPr>
      <w:r>
        <w:rPr>
          <w:rFonts w:hint="default" w:ascii="Times New Roman" w:hAnsi="Times New Roman" w:cs="Times New Roman"/>
          <w:b w:val="0"/>
          <w:bCs w:val="0"/>
          <w:color w:val="auto"/>
          <w:kern w:val="2"/>
          <w:sz w:val="21"/>
          <w:szCs w:val="21"/>
          <w:highlight w:val="none"/>
          <w:lang w:val="en-US" w:eastAsia="zh-CN" w:bidi="ar-SA"/>
        </w:rPr>
        <w:t>伊宁</w:t>
      </w:r>
      <w:r>
        <w:rPr>
          <w:rFonts w:hint="default" w:ascii="Times New Roman" w:hAnsi="Times New Roman" w:cs="Times New Roman" w:eastAsiaTheme="minorEastAsia"/>
          <w:b w:val="0"/>
          <w:bCs w:val="0"/>
          <w:color w:val="auto"/>
          <w:kern w:val="2"/>
          <w:sz w:val="21"/>
          <w:szCs w:val="21"/>
          <w:highlight w:val="none"/>
          <w:lang w:val="en-US" w:eastAsia="zh-CN" w:bidi="ar-SA"/>
        </w:rPr>
        <w:t>县民政局实行动态管理，</w:t>
      </w:r>
      <w:r>
        <w:rPr>
          <w:rFonts w:hint="eastAsia" w:asciiTheme="minorEastAsia" w:hAnsiTheme="minorEastAsia" w:cstheme="minorEastAsia"/>
          <w:color w:val="auto"/>
          <w:lang w:val="en-US" w:eastAsia="zh-CN"/>
        </w:rPr>
        <w:t>通过全国儿童福利信息系统对全县孤儿的儿童基本情况、家庭/监护人情况、机构养育情况、福利保障情况等进行登记，由伊宁县孤儿院将孤儿信息录入系统，并定期对孤儿信息进行维护、更新，伊宁县民政局对孤儿录入信息进行审核。</w:t>
      </w:r>
      <w:r>
        <w:rPr>
          <w:rFonts w:hint="default" w:ascii="Times New Roman" w:hAnsi="Times New Roman" w:cs="Times New Roman" w:eastAsiaTheme="minorEastAsia"/>
          <w:b w:val="0"/>
          <w:bCs w:val="0"/>
          <w:color w:val="auto"/>
          <w:kern w:val="2"/>
          <w:sz w:val="21"/>
          <w:szCs w:val="21"/>
          <w:highlight w:val="none"/>
          <w:lang w:val="en-US" w:eastAsia="zh-CN" w:bidi="ar-SA"/>
        </w:rPr>
        <w:t>及时掌握孤儿动态，孤儿因毕业、退学等原因不再就读的，退出“助学工程”。</w:t>
      </w:r>
      <w:r>
        <w:rPr>
          <w:rFonts w:hint="default"/>
          <w:lang w:val="en-US" w:eastAsia="zh-CN"/>
        </w:rPr>
        <w:object>
          <v:shape id="_x0000_i1025" o:spt="75" type="#_x0000_t75" style="height:545.4pt;width:415.15pt;" o:ole="t" filled="f" o:preferrelative="t" stroked="f" coordsize="21600,21600">
            <v:path/>
            <v:fill on="f" focussize="0,0"/>
            <v:stroke on="f"/>
            <v:imagedata r:id="rId21" o:title=""/>
            <o:lock v:ext="edit" aspectratio="f"/>
            <w10:wrap type="none"/>
            <w10:anchorlock/>
          </v:shape>
          <o:OLEObject Type="Embed" ProgID="Visio.Drawing.11" ShapeID="_x0000_i1025" DrawAspect="Content" ObjectID="_1468075725" r:id="rId20">
            <o:LockedField>false</o:LockedField>
          </o:OLEObject>
        </w:object>
      </w:r>
    </w:p>
    <w:p w14:paraId="08AB1977">
      <w:pPr>
        <w:pStyle w:val="5"/>
        <w:pageBreakBefore w:val="0"/>
        <w:widowControl w:val="0"/>
        <w:kinsoku/>
        <w:wordWrap/>
        <w:overflowPunct/>
        <w:topLinePunct w:val="0"/>
        <w:autoSpaceDE/>
        <w:autoSpaceDN/>
        <w:bidi w:val="0"/>
        <w:adjustRightInd w:val="0"/>
        <w:snapToGrid w:val="0"/>
        <w:spacing w:before="0" w:after="0" w:line="360" w:lineRule="auto"/>
        <w:ind w:firstLine="482"/>
        <w:textAlignment w:val="auto"/>
        <w:rPr>
          <w:rFonts w:ascii="Times New Roman" w:hAnsi="Times New Roman" w:cs="Times New Roman"/>
          <w:color w:val="auto"/>
        </w:rPr>
      </w:pPr>
      <w:bookmarkStart w:id="38" w:name="_Toc5149"/>
      <w:r>
        <w:rPr>
          <w:rFonts w:hint="default" w:ascii="Times New Roman" w:hAnsi="Times New Roman" w:cs="Times New Roman"/>
          <w:color w:val="auto"/>
        </w:rPr>
        <w:t>（四）</w:t>
      </w:r>
      <w:r>
        <w:rPr>
          <w:rFonts w:ascii="Times New Roman" w:hAnsi="Times New Roman" w:cs="Times New Roman"/>
          <w:color w:val="auto"/>
        </w:rPr>
        <w:t>项目组织管理</w:t>
      </w:r>
      <w:bookmarkEnd w:id="38"/>
    </w:p>
    <w:p w14:paraId="48562F6F">
      <w:pPr>
        <w:spacing w:line="360" w:lineRule="auto"/>
        <w:ind w:firstLine="420" w:firstLineChars="200"/>
        <w:rPr>
          <w:rFonts w:hint="default" w:ascii="Times New Roman" w:hAnsi="Times New Roman" w:cs="Times New Roman"/>
          <w:color w:val="auto"/>
          <w:highlight w:val="none"/>
          <w:lang w:val="en-US" w:eastAsia="zh-CN"/>
        </w:rPr>
      </w:pPr>
      <w:r>
        <w:rPr>
          <w:rFonts w:hint="default" w:ascii="Times New Roman" w:hAnsi="Times New Roman" w:cs="Times New Roman" w:eastAsiaTheme="minorEastAsia"/>
          <w:b w:val="0"/>
          <w:bCs w:val="0"/>
          <w:color w:val="auto"/>
          <w:kern w:val="2"/>
          <w:sz w:val="21"/>
          <w:szCs w:val="21"/>
          <w:highlight w:val="none"/>
          <w:lang w:val="en-US" w:eastAsia="zh-CN" w:bidi="ar-SA"/>
        </w:rPr>
        <w:t>项目</w:t>
      </w:r>
      <w:r>
        <w:rPr>
          <w:rFonts w:hint="eastAsia" w:cs="Times New Roman"/>
          <w:b w:val="0"/>
          <w:bCs w:val="0"/>
          <w:color w:val="auto"/>
          <w:kern w:val="2"/>
          <w:sz w:val="21"/>
          <w:szCs w:val="21"/>
          <w:highlight w:val="none"/>
          <w:lang w:val="en-US" w:eastAsia="zh-CN" w:bidi="ar-SA"/>
        </w:rPr>
        <w:t>主管</w:t>
      </w:r>
      <w:r>
        <w:rPr>
          <w:rFonts w:hint="default" w:ascii="Times New Roman" w:hAnsi="Times New Roman" w:cs="Times New Roman" w:eastAsiaTheme="minorEastAsia"/>
          <w:b w:val="0"/>
          <w:bCs w:val="0"/>
          <w:color w:val="auto"/>
          <w:kern w:val="2"/>
          <w:sz w:val="21"/>
          <w:szCs w:val="21"/>
          <w:highlight w:val="none"/>
          <w:lang w:val="en-US" w:eastAsia="zh-CN" w:bidi="ar-SA"/>
        </w:rPr>
        <w:t>单位</w:t>
      </w:r>
      <w:r>
        <w:rPr>
          <w:rFonts w:hint="eastAsia" w:cs="Times New Roman"/>
          <w:b w:val="0"/>
          <w:bCs w:val="0"/>
          <w:color w:val="auto"/>
          <w:kern w:val="2"/>
          <w:sz w:val="21"/>
          <w:szCs w:val="21"/>
          <w:highlight w:val="none"/>
          <w:lang w:val="en-US" w:eastAsia="zh-CN" w:bidi="ar-SA"/>
        </w:rPr>
        <w:t>：</w:t>
      </w:r>
      <w:r>
        <w:rPr>
          <w:rFonts w:hint="default" w:ascii="Times New Roman" w:hAnsi="Times New Roman" w:cs="Times New Roman"/>
          <w:b w:val="0"/>
          <w:bCs w:val="0"/>
          <w:color w:val="auto"/>
          <w:kern w:val="2"/>
          <w:sz w:val="21"/>
          <w:szCs w:val="21"/>
          <w:highlight w:val="none"/>
          <w:lang w:val="en-US" w:eastAsia="zh-CN" w:bidi="ar-SA"/>
        </w:rPr>
        <w:t>伊宁县民政局</w:t>
      </w:r>
      <w:r>
        <w:rPr>
          <w:rFonts w:hint="default" w:ascii="Times New Roman" w:hAnsi="Times New Roman" w:cs="Times New Roman" w:eastAsiaTheme="minorEastAsia"/>
          <w:b w:val="0"/>
          <w:bCs w:val="0"/>
          <w:color w:val="auto"/>
          <w:kern w:val="2"/>
          <w:sz w:val="21"/>
          <w:szCs w:val="21"/>
          <w:highlight w:val="none"/>
          <w:lang w:val="en-US" w:eastAsia="zh-CN" w:bidi="ar-SA"/>
        </w:rPr>
        <w:t>，</w:t>
      </w:r>
      <w:r>
        <w:rPr>
          <w:rFonts w:hint="default" w:ascii="Times New Roman" w:hAnsi="Times New Roman" w:cs="Times New Roman"/>
          <w:color w:val="auto"/>
          <w:highlight w:val="none"/>
          <w:lang w:val="en-US" w:eastAsia="zh-CN"/>
        </w:rPr>
        <w:t>主要负责制定和完善孤儿助学相关政策、制度和规范。协调相关部门和机构，确保孤儿助学资金的筹集、分配和使用</w:t>
      </w:r>
      <w:r>
        <w:rPr>
          <w:rFonts w:hint="eastAsia" w:cs="Times New Roman"/>
          <w:color w:val="auto"/>
          <w:highlight w:val="none"/>
          <w:lang w:val="en-US" w:eastAsia="zh-CN"/>
        </w:rPr>
        <w:t>；</w:t>
      </w:r>
      <w:r>
        <w:rPr>
          <w:rFonts w:hint="default" w:ascii="Times New Roman" w:hAnsi="Times New Roman" w:cs="Times New Roman"/>
          <w:color w:val="auto"/>
          <w:highlight w:val="none"/>
          <w:lang w:val="en-US" w:eastAsia="zh-CN"/>
        </w:rPr>
        <w:t>监督、检查和评估孤儿助学工作的实施效果。</w:t>
      </w:r>
    </w:p>
    <w:p w14:paraId="2FB34A5B">
      <w:pPr>
        <w:spacing w:line="360" w:lineRule="auto"/>
        <w:ind w:firstLine="420" w:firstLineChars="200"/>
        <w:rPr>
          <w:rFonts w:hint="default" w:ascii="Times New Roman" w:hAnsi="Times New Roman" w:cs="Times New Roman"/>
          <w:color w:val="auto"/>
          <w:highlight w:val="none"/>
          <w:lang w:val="en-US" w:eastAsia="zh-CN"/>
        </w:rPr>
      </w:pPr>
      <w:r>
        <w:rPr>
          <w:rFonts w:hint="eastAsia" w:cs="Times New Roman"/>
          <w:b w:val="0"/>
          <w:bCs w:val="0"/>
          <w:color w:val="auto"/>
          <w:kern w:val="2"/>
          <w:sz w:val="21"/>
          <w:szCs w:val="21"/>
          <w:highlight w:val="none"/>
          <w:lang w:val="en-US" w:eastAsia="zh-CN" w:bidi="ar-SA"/>
        </w:rPr>
        <w:t>项目</w:t>
      </w:r>
      <w:r>
        <w:rPr>
          <w:rFonts w:hint="default" w:ascii="Times New Roman" w:hAnsi="Times New Roman" w:cs="Times New Roman" w:eastAsiaTheme="minorEastAsia"/>
          <w:b w:val="0"/>
          <w:bCs w:val="0"/>
          <w:color w:val="auto"/>
          <w:kern w:val="2"/>
          <w:sz w:val="21"/>
          <w:szCs w:val="21"/>
          <w:highlight w:val="none"/>
          <w:lang w:val="en-US" w:eastAsia="zh-CN" w:bidi="ar-SA"/>
        </w:rPr>
        <w:t>实施单位</w:t>
      </w:r>
      <w:r>
        <w:rPr>
          <w:rFonts w:hint="eastAsia" w:cs="Times New Roman"/>
          <w:b w:val="0"/>
          <w:bCs w:val="0"/>
          <w:color w:val="auto"/>
          <w:kern w:val="2"/>
          <w:sz w:val="21"/>
          <w:szCs w:val="21"/>
          <w:highlight w:val="none"/>
          <w:lang w:val="en-US" w:eastAsia="zh-CN" w:bidi="ar-SA"/>
        </w:rPr>
        <w:t>：伊宁县儿童福利院</w:t>
      </w:r>
      <w:r>
        <w:rPr>
          <w:rFonts w:hint="default" w:ascii="Times New Roman" w:hAnsi="Times New Roman" w:cs="Times New Roman" w:eastAsiaTheme="minorEastAsia"/>
          <w:b w:val="0"/>
          <w:bCs w:val="0"/>
          <w:color w:val="auto"/>
          <w:kern w:val="2"/>
          <w:sz w:val="21"/>
          <w:szCs w:val="21"/>
          <w:highlight w:val="none"/>
          <w:lang w:val="en-US" w:eastAsia="zh-CN" w:bidi="ar-SA"/>
        </w:rPr>
        <w:t>，</w:t>
      </w:r>
      <w:r>
        <w:rPr>
          <w:rFonts w:hint="default" w:ascii="Times New Roman" w:hAnsi="Times New Roman" w:cs="Times New Roman"/>
          <w:color w:val="auto"/>
          <w:highlight w:val="none"/>
          <w:lang w:val="en-US" w:eastAsia="zh-CN"/>
        </w:rPr>
        <w:t>主要</w:t>
      </w:r>
      <w:r>
        <w:rPr>
          <w:rFonts w:hint="eastAsia" w:cs="Times New Roman"/>
          <w:color w:val="auto"/>
          <w:highlight w:val="none"/>
          <w:lang w:val="en-US" w:eastAsia="zh-CN"/>
        </w:rPr>
        <w:t>负责资格审核与材料准备，协助符合条件的孤儿申请助学金，为其提供申请指导等；负责将符合条件的孤儿申请材料汇总，统一报送至伊宁县民政局；对已获得助学金的孤儿情况进行动态管理与跟踪反馈</w:t>
      </w:r>
      <w:r>
        <w:rPr>
          <w:rFonts w:hint="default" w:ascii="Times New Roman" w:hAnsi="Times New Roman" w:cs="Times New Roman"/>
          <w:color w:val="auto"/>
          <w:highlight w:val="none"/>
          <w:lang w:val="en-US" w:eastAsia="zh-CN"/>
        </w:rPr>
        <w:t>。</w:t>
      </w:r>
    </w:p>
    <w:p w14:paraId="6B99F18D">
      <w:pPr>
        <w:spacing w:line="360" w:lineRule="auto"/>
        <w:ind w:firstLine="420" w:firstLineChars="200"/>
        <w:rPr>
          <w:rFonts w:hint="eastAsia" w:cs="Times New Roman"/>
          <w:color w:val="auto"/>
          <w:highlight w:val="none"/>
          <w:lang w:val="en-US" w:eastAsia="zh-CN"/>
        </w:rPr>
      </w:pPr>
      <w:r>
        <w:rPr>
          <w:rFonts w:hint="eastAsia" w:cs="Times New Roman"/>
          <w:color w:val="auto"/>
          <w:highlight w:val="none"/>
          <w:lang w:val="en-US" w:eastAsia="zh-CN"/>
        </w:rPr>
        <w:t>伊宁县民政局每年会同同级财政部门对孤儿助学人员情况进行审核，并逐级汇总上报。省级民政部门汇总全省孤儿助学信息和补贴情况于每年3月10日前报至民政部儿童福利司。</w:t>
      </w:r>
    </w:p>
    <w:p w14:paraId="2E5C4920">
      <w:pPr>
        <w:spacing w:line="360" w:lineRule="auto"/>
        <w:ind w:firstLine="420" w:firstLineChars="200"/>
        <w:rPr>
          <w:rFonts w:hint="eastAsia" w:cs="Times New Roman"/>
          <w:color w:val="auto"/>
          <w:highlight w:val="none"/>
          <w:lang w:val="en-US" w:eastAsia="zh-CN"/>
        </w:rPr>
      </w:pPr>
      <w:r>
        <w:rPr>
          <w:rFonts w:hint="eastAsia" w:cs="Times New Roman"/>
          <w:color w:val="auto"/>
          <w:highlight w:val="none"/>
          <w:lang w:val="en-US" w:eastAsia="zh-CN"/>
        </w:rPr>
        <w:t>按照“民政部门核定对象、标准，财政部门核拨资金，金融机构代发到人”的规程，全面推行孤儿助学补助资金社会化发放，减少中间环节，确保资金发放安全、及时、方便、快捷。同时，充分利用信息管理系统，建立健全发放体系，形成民政、财政及金融机构之间的联通联动机制，对资金发放实现全程监管。</w:t>
      </w:r>
    </w:p>
    <w:p w14:paraId="260D1989">
      <w:pPr>
        <w:spacing w:line="360" w:lineRule="auto"/>
        <w:ind w:firstLine="420" w:firstLineChars="200"/>
        <w:rPr>
          <w:rFonts w:hint="default" w:ascii="Times New Roman" w:hAnsi="Times New Roman" w:cs="Times New Roman"/>
          <w:color w:val="auto"/>
          <w:highlight w:val="none"/>
          <w:lang w:val="en-US" w:eastAsia="zh-CN"/>
        </w:rPr>
      </w:pPr>
      <w:r>
        <w:rPr>
          <w:rFonts w:hint="eastAsia" w:cs="Times New Roman"/>
          <w:color w:val="auto"/>
          <w:highlight w:val="none"/>
          <w:lang w:val="en-US" w:eastAsia="zh-CN"/>
        </w:rPr>
        <w:t>该项目资金严格按照《民政部办公厅关于印发〈“福彩圆梦•孤儿助学工程”项目实施暂行办法〉的通知》（民办发〔2019〕24号）文件执行，采取国库集中支付的方式，由伊宁县儿童福利院向伊宁县民政局提交关于支付该项目的资金申请报告，经审批后，伊宁县民政局在财政2.0系统进行支付申请，申请通过后由伊宁县民政局将资金支付给伊宁县儿童福利院，伊宁县儿童福利院通过一卡通的形式将资金直接支付至各孤儿的账户。</w:t>
      </w:r>
    </w:p>
    <w:p w14:paraId="55A76C89">
      <w:pPr>
        <w:pStyle w:val="4"/>
        <w:pageBreakBefore w:val="0"/>
        <w:widowControl w:val="0"/>
        <w:kinsoku/>
        <w:wordWrap/>
        <w:overflowPunct/>
        <w:topLinePunct w:val="0"/>
        <w:autoSpaceDE/>
        <w:autoSpaceDN/>
        <w:bidi w:val="0"/>
        <w:adjustRightInd w:val="0"/>
        <w:snapToGrid w:val="0"/>
        <w:spacing w:before="0" w:after="0" w:line="360" w:lineRule="auto"/>
        <w:ind w:firstLine="482"/>
        <w:textAlignment w:val="auto"/>
        <w:rPr>
          <w:rFonts w:ascii="Times New Roman" w:hAnsi="Times New Roman" w:cs="Times New Roman"/>
          <w:color w:val="auto"/>
        </w:rPr>
      </w:pPr>
      <w:bookmarkStart w:id="39" w:name="_Toc4201"/>
      <w:r>
        <w:rPr>
          <w:rFonts w:hint="default" w:ascii="Times New Roman" w:hAnsi="Times New Roman" w:cs="Times New Roman"/>
          <w:color w:val="auto"/>
        </w:rPr>
        <w:t>二、</w:t>
      </w:r>
      <w:r>
        <w:rPr>
          <w:rFonts w:ascii="Times New Roman" w:hAnsi="Times New Roman" w:cs="Times New Roman"/>
          <w:color w:val="auto"/>
        </w:rPr>
        <w:t>项目绩效目标</w:t>
      </w:r>
      <w:bookmarkEnd w:id="37"/>
      <w:bookmarkEnd w:id="39"/>
    </w:p>
    <w:p w14:paraId="1F7DDB76">
      <w:pPr>
        <w:pStyle w:val="5"/>
        <w:pageBreakBefore w:val="0"/>
        <w:widowControl w:val="0"/>
        <w:kinsoku/>
        <w:wordWrap/>
        <w:overflowPunct/>
        <w:topLinePunct w:val="0"/>
        <w:autoSpaceDE/>
        <w:autoSpaceDN/>
        <w:bidi w:val="0"/>
        <w:adjustRightInd w:val="0"/>
        <w:snapToGrid w:val="0"/>
        <w:spacing w:before="0" w:after="0" w:line="360" w:lineRule="auto"/>
        <w:textAlignment w:val="auto"/>
        <w:rPr>
          <w:rFonts w:ascii="Times New Roman" w:hAnsi="Times New Roman" w:cs="Times New Roman"/>
          <w:color w:val="auto"/>
        </w:rPr>
      </w:pPr>
      <w:bookmarkStart w:id="40" w:name="_Toc16555"/>
      <w:r>
        <w:rPr>
          <w:rFonts w:hint="default" w:ascii="Times New Roman" w:hAnsi="Times New Roman" w:cs="Times New Roman"/>
          <w:color w:val="auto"/>
        </w:rPr>
        <w:t>（一）</w:t>
      </w:r>
      <w:r>
        <w:rPr>
          <w:rFonts w:ascii="Times New Roman" w:hAnsi="Times New Roman" w:cs="Times New Roman"/>
          <w:color w:val="auto"/>
        </w:rPr>
        <w:t>项目绩效总目标</w:t>
      </w:r>
      <w:bookmarkEnd w:id="40"/>
    </w:p>
    <w:p w14:paraId="622A11BB">
      <w:pPr>
        <w:pStyle w:val="5"/>
        <w:pageBreakBefore w:val="0"/>
        <w:widowControl w:val="0"/>
        <w:kinsoku/>
        <w:wordWrap/>
        <w:overflowPunct/>
        <w:topLinePunct w:val="0"/>
        <w:autoSpaceDE/>
        <w:autoSpaceDN/>
        <w:bidi w:val="0"/>
        <w:adjustRightInd w:val="0"/>
        <w:snapToGrid w:val="0"/>
        <w:spacing w:before="0" w:after="0" w:line="360" w:lineRule="auto"/>
        <w:textAlignment w:val="auto"/>
        <w:rPr>
          <w:rFonts w:hint="default" w:ascii="Times New Roman" w:hAnsi="Times New Roman" w:cs="Times New Roman" w:eastAsiaTheme="minorEastAsia"/>
          <w:b w:val="0"/>
          <w:bCs w:val="0"/>
          <w:color w:val="auto"/>
          <w:kern w:val="2"/>
          <w:sz w:val="21"/>
          <w:szCs w:val="21"/>
          <w:highlight w:val="none"/>
          <w:lang w:val="en-US" w:eastAsia="zh-CN" w:bidi="ar-SA"/>
        </w:rPr>
      </w:pPr>
      <w:bookmarkStart w:id="41" w:name="_Toc17956"/>
      <w:r>
        <w:rPr>
          <w:rFonts w:hint="default" w:ascii="Times New Roman" w:hAnsi="Times New Roman" w:cs="Times New Roman" w:eastAsiaTheme="minorEastAsia"/>
          <w:b w:val="0"/>
          <w:bCs w:val="0"/>
          <w:color w:val="auto"/>
          <w:kern w:val="2"/>
          <w:sz w:val="21"/>
          <w:szCs w:val="21"/>
          <w:highlight w:val="none"/>
          <w:lang w:val="en-US" w:eastAsia="zh-CN" w:bidi="ar-SA"/>
        </w:rPr>
        <w:t>为进一步健全孤儿保障制度，维护孤儿受教育权利，践行福彩救孤济困宗旨，利用中央彩票公益金实施“福彩圆梦·孤儿助学工程”项目，对认定为孤儿身份、年满18岁后在普通全日制本科学校、普通全日制专科学校、高等职业学校等高等院校和中等职业学校就读中专、大专、本科学生和硕士研究生的孤儿进行补助，为大龄孤儿提供接受高等教育的机会，保障孤儿就学权利，促进教育公平。</w:t>
      </w:r>
      <w:bookmarkEnd w:id="41"/>
    </w:p>
    <w:p w14:paraId="076B9471">
      <w:pPr>
        <w:pStyle w:val="5"/>
        <w:pageBreakBefore w:val="0"/>
        <w:widowControl w:val="0"/>
        <w:kinsoku/>
        <w:wordWrap/>
        <w:overflowPunct/>
        <w:topLinePunct w:val="0"/>
        <w:autoSpaceDE/>
        <w:autoSpaceDN/>
        <w:bidi w:val="0"/>
        <w:adjustRightInd w:val="0"/>
        <w:snapToGrid w:val="0"/>
        <w:spacing w:before="0" w:after="0" w:line="360" w:lineRule="auto"/>
        <w:textAlignment w:val="auto"/>
        <w:rPr>
          <w:rFonts w:ascii="Times New Roman" w:hAnsi="Times New Roman" w:cs="Times New Roman"/>
          <w:color w:val="auto"/>
        </w:rPr>
      </w:pPr>
      <w:bookmarkStart w:id="42" w:name="_Toc8685"/>
      <w:r>
        <w:rPr>
          <w:rFonts w:hint="default" w:ascii="Times New Roman" w:hAnsi="Times New Roman" w:cs="Times New Roman"/>
          <w:color w:val="auto"/>
        </w:rPr>
        <w:t>（二）年度绩效</w:t>
      </w:r>
      <w:r>
        <w:rPr>
          <w:rFonts w:ascii="Times New Roman" w:hAnsi="Times New Roman" w:cs="Times New Roman"/>
          <w:color w:val="auto"/>
        </w:rPr>
        <w:t>目标</w:t>
      </w:r>
      <w:bookmarkEnd w:id="42"/>
    </w:p>
    <w:p w14:paraId="5C0A36E8">
      <w:pPr>
        <w:spacing w:line="360" w:lineRule="auto"/>
        <w:ind w:firstLine="420" w:firstLineChars="200"/>
        <w:rPr>
          <w:rFonts w:hint="eastAsia" w:asciiTheme="minorEastAsia" w:hAnsiTheme="minorEastAsia" w:eastAsiaTheme="minorEastAsia" w:cstheme="minorEastAsia"/>
          <w:b w:val="0"/>
          <w:bCs w:val="0"/>
          <w:color w:val="auto"/>
          <w:kern w:val="2"/>
          <w:sz w:val="21"/>
          <w:szCs w:val="21"/>
          <w:highlight w:val="none"/>
          <w:lang w:val="en-US" w:eastAsia="zh-CN" w:bidi="ar-SA"/>
        </w:rPr>
      </w:pPr>
      <w:r>
        <w:rPr>
          <w:rFonts w:hint="eastAsia" w:asciiTheme="minorEastAsia" w:hAnsiTheme="minorEastAsia" w:eastAsiaTheme="minorEastAsia" w:cstheme="minorEastAsia"/>
          <w:b w:val="0"/>
          <w:bCs w:val="0"/>
          <w:color w:val="auto"/>
          <w:kern w:val="2"/>
          <w:sz w:val="21"/>
          <w:szCs w:val="21"/>
          <w:highlight w:val="none"/>
          <w:lang w:val="en-US" w:eastAsia="zh-CN" w:bidi="ar-SA"/>
        </w:rPr>
        <w:t>根据《项目支出绩效</w:t>
      </w:r>
      <w:r>
        <w:rPr>
          <w:rFonts w:hint="eastAsia" w:cs="Times New Roman"/>
          <w:color w:val="auto"/>
          <w:highlight w:val="none"/>
          <w:lang w:val="en-US" w:eastAsia="zh-CN"/>
        </w:rPr>
        <w:t>评价管理办法》（财预〔2020〕10号）的规定，结合项目相关信息，评价小组对原有项目年度目标进行完善后，经与项目单位沟通后，最终确定该项目年度绩效目标为：为伊宁县2024年度认定的24名孤儿大学生按照每人每学年1.00万元的标准发放助学金，有效保障孤儿就学权利，为大龄孤</w:t>
      </w:r>
      <w:r>
        <w:rPr>
          <w:rFonts w:hint="eastAsia" w:asciiTheme="minorEastAsia" w:hAnsiTheme="minorEastAsia" w:eastAsiaTheme="minorEastAsia" w:cstheme="minorEastAsia"/>
          <w:b w:val="0"/>
          <w:bCs w:val="0"/>
          <w:color w:val="auto"/>
          <w:kern w:val="2"/>
          <w:sz w:val="21"/>
          <w:szCs w:val="21"/>
          <w:highlight w:val="none"/>
          <w:lang w:val="en-US" w:eastAsia="zh-CN" w:bidi="ar-SA"/>
        </w:rPr>
        <w:t>儿提供接受高等教育的机会，让受助学生感受到国家大家庭的关爱。具体目标如下：</w:t>
      </w:r>
    </w:p>
    <w:p w14:paraId="377D1CF6">
      <w:pPr>
        <w:spacing w:line="360" w:lineRule="auto"/>
        <w:ind w:firstLine="422"/>
        <w:rPr>
          <w:rFonts w:ascii="Times New Roman" w:hAnsi="Times New Roman" w:cs="Times New Roman"/>
          <w:b/>
          <w:bCs/>
          <w:color w:val="auto"/>
        </w:rPr>
      </w:pPr>
      <w:r>
        <w:rPr>
          <w:rFonts w:ascii="Times New Roman" w:hAnsi="Times New Roman" w:cs="Times New Roman"/>
          <w:b/>
          <w:bCs/>
          <w:color w:val="auto"/>
        </w:rPr>
        <w:t>（1）项目产出目标</w:t>
      </w:r>
    </w:p>
    <w:p w14:paraId="4BB0FC31">
      <w:pPr>
        <w:spacing w:line="360" w:lineRule="auto"/>
        <w:ind w:firstLine="420"/>
        <w:rPr>
          <w:rFonts w:hint="default" w:ascii="Times New Roman" w:hAnsi="Times New Roman" w:cs="Times New Roman"/>
          <w:color w:val="auto"/>
          <w:highlight w:val="none"/>
        </w:rPr>
      </w:pPr>
      <w:r>
        <w:rPr>
          <w:rFonts w:ascii="Times New Roman" w:hAnsi="Times New Roman" w:cs="Times New Roman"/>
          <w:color w:val="auto"/>
          <w:highlight w:val="none"/>
        </w:rPr>
        <w:t>①</w:t>
      </w:r>
      <w:r>
        <w:rPr>
          <w:rFonts w:hint="default" w:ascii="Times New Roman" w:hAnsi="Times New Roman" w:cs="Times New Roman"/>
          <w:color w:val="auto"/>
          <w:highlight w:val="none"/>
        </w:rPr>
        <w:t>数量指标</w:t>
      </w:r>
    </w:p>
    <w:p w14:paraId="282CFCE7">
      <w:pPr>
        <w:spacing w:line="360" w:lineRule="auto"/>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“C11受助孤儿人数”指标，预期指标值为</w:t>
      </w:r>
      <w:r>
        <w:rPr>
          <w:rFonts w:hint="default" w:ascii="Times New Roman" w:hAnsi="Times New Roman" w:cs="Times New Roman"/>
          <w:color w:val="auto"/>
          <w:highlight w:val="none"/>
          <w:lang w:val="en-US" w:eastAsia="zh-CN"/>
        </w:rPr>
        <w:t>24</w:t>
      </w:r>
      <w:r>
        <w:rPr>
          <w:rFonts w:hint="default" w:ascii="Times New Roman" w:hAnsi="Times New Roman" w:cs="Times New Roman"/>
          <w:color w:val="auto"/>
          <w:highlight w:val="none"/>
        </w:rPr>
        <w:t>人。</w:t>
      </w:r>
    </w:p>
    <w:p w14:paraId="4AE7A5ED">
      <w:pPr>
        <w:spacing w:line="360" w:lineRule="auto"/>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②质量指标</w:t>
      </w:r>
    </w:p>
    <w:p w14:paraId="077A0442">
      <w:pPr>
        <w:spacing w:line="360" w:lineRule="auto"/>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“C21资助对象符合性”指标，预期指标值为100.00%。</w:t>
      </w:r>
    </w:p>
    <w:p w14:paraId="3C17DE6F">
      <w:pPr>
        <w:spacing w:line="360" w:lineRule="auto"/>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③时效指标</w:t>
      </w:r>
    </w:p>
    <w:p w14:paraId="36B66382">
      <w:pPr>
        <w:spacing w:line="360" w:lineRule="auto"/>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“C31</w:t>
      </w:r>
      <w:r>
        <w:rPr>
          <w:rFonts w:hint="default" w:ascii="Times New Roman" w:hAnsi="Times New Roman" w:cs="Times New Roman"/>
          <w:color w:val="auto"/>
          <w:highlight w:val="none"/>
          <w:lang w:eastAsia="zh-CN"/>
        </w:rPr>
        <w:t>助学金发放及时率</w:t>
      </w:r>
      <w:r>
        <w:rPr>
          <w:rFonts w:hint="default" w:ascii="Times New Roman" w:hAnsi="Times New Roman" w:cs="Times New Roman"/>
          <w:color w:val="auto"/>
          <w:highlight w:val="none"/>
        </w:rPr>
        <w:t>”指标，预期指标值为</w:t>
      </w:r>
      <w:r>
        <w:rPr>
          <w:rFonts w:hint="default" w:ascii="Times New Roman" w:hAnsi="Times New Roman" w:cs="Times New Roman"/>
          <w:color w:val="auto"/>
          <w:highlight w:val="none"/>
          <w:lang w:eastAsia="zh-CN"/>
        </w:rPr>
        <w:t>100.00%</w:t>
      </w:r>
      <w:r>
        <w:rPr>
          <w:rFonts w:hint="default" w:ascii="Times New Roman" w:hAnsi="Times New Roman" w:cs="Times New Roman"/>
          <w:color w:val="auto"/>
          <w:highlight w:val="none"/>
        </w:rPr>
        <w:t>。</w:t>
      </w:r>
    </w:p>
    <w:p w14:paraId="29DB2134">
      <w:pPr>
        <w:spacing w:line="360" w:lineRule="auto"/>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④成本指标</w:t>
      </w:r>
    </w:p>
    <w:p w14:paraId="578B51D6">
      <w:pPr>
        <w:spacing w:line="360" w:lineRule="auto"/>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“C41孤儿资助标准”指标，预期指标值为</w:t>
      </w:r>
      <w:r>
        <w:rPr>
          <w:rFonts w:hint="default" w:ascii="Times New Roman" w:hAnsi="Times New Roman" w:cs="Times New Roman"/>
          <w:color w:val="auto"/>
          <w:highlight w:val="none"/>
          <w:lang w:val="en-US" w:eastAsia="zh-CN"/>
        </w:rPr>
        <w:t>1.00万元/人·年</w:t>
      </w:r>
      <w:r>
        <w:rPr>
          <w:rFonts w:hint="default" w:ascii="Times New Roman" w:hAnsi="Times New Roman" w:cs="Times New Roman"/>
          <w:color w:val="auto"/>
          <w:highlight w:val="none"/>
        </w:rPr>
        <w:t>。</w:t>
      </w:r>
    </w:p>
    <w:p w14:paraId="478FD869">
      <w:pPr>
        <w:tabs>
          <w:tab w:val="left" w:pos="6409"/>
        </w:tabs>
        <w:spacing w:line="360" w:lineRule="auto"/>
        <w:ind w:firstLine="420"/>
        <w:rPr>
          <w:rFonts w:hint="eastAsia" w:ascii="Times New Roman" w:hAnsi="Times New Roman" w:cs="Times New Roman" w:eastAsiaTheme="minorEastAsia"/>
          <w:color w:val="auto"/>
          <w:highlight w:val="none"/>
          <w:lang w:eastAsia="zh-CN"/>
        </w:rPr>
      </w:pPr>
      <w:r>
        <w:rPr>
          <w:rFonts w:hint="default" w:ascii="Times New Roman" w:hAnsi="Times New Roman" w:cs="Times New Roman"/>
          <w:b/>
          <w:bCs/>
          <w:color w:val="auto"/>
          <w:highlight w:val="none"/>
        </w:rPr>
        <w:t>（2）项目效益目标</w:t>
      </w:r>
      <w:r>
        <w:rPr>
          <w:rFonts w:hint="eastAsia" w:cs="Times New Roman"/>
          <w:color w:val="auto"/>
          <w:highlight w:val="none"/>
          <w:lang w:eastAsia="zh-CN"/>
        </w:rPr>
        <w:tab/>
      </w:r>
    </w:p>
    <w:p w14:paraId="62B3F2C6">
      <w:pPr>
        <w:spacing w:line="360" w:lineRule="auto"/>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①社会效益指标</w:t>
      </w:r>
    </w:p>
    <w:p w14:paraId="54DABFBD">
      <w:pPr>
        <w:spacing w:line="360" w:lineRule="auto"/>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“D11孤儿学生完学率提升”指标，预期指标值为有效提升。</w:t>
      </w:r>
    </w:p>
    <w:p w14:paraId="111A961B">
      <w:pPr>
        <w:spacing w:line="360" w:lineRule="auto"/>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“D12孤儿教育水平提升情况”指标，预期指标值为有效提升。</w:t>
      </w:r>
    </w:p>
    <w:p w14:paraId="6B26BE7E">
      <w:pPr>
        <w:spacing w:line="360" w:lineRule="auto"/>
        <w:ind w:firstLine="420"/>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（3）满意度目标</w:t>
      </w:r>
    </w:p>
    <w:p w14:paraId="61E71BD8">
      <w:pPr>
        <w:spacing w:line="360" w:lineRule="auto"/>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①满意度指标</w:t>
      </w:r>
    </w:p>
    <w:p w14:paraId="61B77DCF">
      <w:pPr>
        <w:pageBreakBefore w:val="0"/>
        <w:widowControl/>
        <w:kinsoku/>
        <w:wordWrap/>
        <w:overflowPunct/>
        <w:topLinePunct w:val="0"/>
        <w:autoSpaceDE/>
        <w:autoSpaceDN/>
        <w:bidi w:val="0"/>
        <w:adjustRightInd/>
        <w:snapToGrid/>
        <w:spacing w:line="360" w:lineRule="auto"/>
        <w:ind w:firstLine="420"/>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“D21受助孤儿满意度”指标，预期指标值为大于等于90.00%。</w:t>
      </w:r>
    </w:p>
    <w:p w14:paraId="57E0B379">
      <w:pPr>
        <w:pStyle w:val="4"/>
        <w:pageBreakBefore w:val="0"/>
        <w:widowControl w:val="0"/>
        <w:kinsoku/>
        <w:wordWrap/>
        <w:overflowPunct/>
        <w:topLinePunct w:val="0"/>
        <w:autoSpaceDE/>
        <w:autoSpaceDN/>
        <w:bidi w:val="0"/>
        <w:adjustRightInd w:val="0"/>
        <w:snapToGrid w:val="0"/>
        <w:spacing w:before="0" w:after="0" w:line="360" w:lineRule="auto"/>
        <w:ind w:firstLine="482"/>
        <w:textAlignment w:val="auto"/>
        <w:rPr>
          <w:rFonts w:hint="default" w:ascii="Times New Roman" w:hAnsi="Times New Roman" w:cs="Times New Roman"/>
          <w:color w:val="auto"/>
        </w:rPr>
      </w:pPr>
      <w:bookmarkStart w:id="43" w:name="_Toc68364660"/>
      <w:bookmarkStart w:id="44" w:name="_Toc32039"/>
      <w:r>
        <w:rPr>
          <w:rFonts w:hint="default" w:ascii="Times New Roman" w:hAnsi="Times New Roman" w:cs="Times New Roman"/>
          <w:color w:val="auto"/>
        </w:rPr>
        <w:t>三、绩效评价工作开展情况</w:t>
      </w:r>
      <w:bookmarkEnd w:id="43"/>
      <w:bookmarkEnd w:id="44"/>
    </w:p>
    <w:p w14:paraId="4F0B0BB2">
      <w:pPr>
        <w:pStyle w:val="5"/>
        <w:pageBreakBefore w:val="0"/>
        <w:widowControl w:val="0"/>
        <w:kinsoku/>
        <w:wordWrap/>
        <w:overflowPunct/>
        <w:topLinePunct w:val="0"/>
        <w:autoSpaceDE/>
        <w:autoSpaceDN/>
        <w:bidi w:val="0"/>
        <w:adjustRightInd w:val="0"/>
        <w:snapToGrid w:val="0"/>
        <w:spacing w:before="0" w:after="0" w:line="360" w:lineRule="auto"/>
        <w:ind w:firstLine="482"/>
        <w:textAlignment w:val="auto"/>
        <w:rPr>
          <w:rFonts w:hint="default" w:ascii="Times New Roman" w:hAnsi="Times New Roman" w:cs="Times New Roman"/>
          <w:color w:val="auto"/>
        </w:rPr>
      </w:pPr>
      <w:bookmarkStart w:id="45" w:name="_Toc27940"/>
      <w:bookmarkStart w:id="46" w:name="_Toc17957"/>
      <w:bookmarkStart w:id="47" w:name="_Toc68364661"/>
      <w:r>
        <w:rPr>
          <w:rFonts w:hint="default" w:ascii="Times New Roman" w:hAnsi="Times New Roman" w:cs="Times New Roman"/>
          <w:color w:val="auto"/>
        </w:rPr>
        <w:t>（一）绩效评价依据</w:t>
      </w:r>
      <w:bookmarkEnd w:id="45"/>
      <w:bookmarkEnd w:id="46"/>
    </w:p>
    <w:p w14:paraId="32877765">
      <w:pPr>
        <w:pageBreakBefore w:val="0"/>
        <w:widowControl w:val="0"/>
        <w:numPr>
          <w:ilvl w:val="0"/>
          <w:numId w:val="1"/>
        </w:numPr>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《中华人民共和国预算法》；</w:t>
      </w:r>
    </w:p>
    <w:p w14:paraId="14D53D82">
      <w:pPr>
        <w:pageBreakBefore w:val="0"/>
        <w:widowControl w:val="0"/>
        <w:numPr>
          <w:ilvl w:val="0"/>
          <w:numId w:val="1"/>
        </w:numPr>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w:t>
      </w:r>
      <w:r>
        <w:rPr>
          <w:rFonts w:hint="eastAsia" w:cs="Times New Roman"/>
          <w:color w:val="auto"/>
          <w:highlight w:val="none"/>
          <w:lang w:eastAsia="zh-CN"/>
        </w:rPr>
        <w:t>中共中央、国务院</w:t>
      </w:r>
      <w:r>
        <w:rPr>
          <w:rFonts w:hint="default" w:ascii="Times New Roman" w:hAnsi="Times New Roman" w:cs="Times New Roman"/>
          <w:color w:val="auto"/>
          <w:highlight w:val="none"/>
        </w:rPr>
        <w:t>关于全面实施预算绩效管理的意见》（中发〔2018〕34号）；</w:t>
      </w:r>
    </w:p>
    <w:p w14:paraId="35D25645">
      <w:pPr>
        <w:pageBreakBefore w:val="0"/>
        <w:widowControl w:val="0"/>
        <w:numPr>
          <w:ilvl w:val="0"/>
          <w:numId w:val="1"/>
        </w:numPr>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《项目支出绩效评价管理办法》（财预〔2020〕10号）；</w:t>
      </w:r>
    </w:p>
    <w:p w14:paraId="5AF2F314">
      <w:pPr>
        <w:pageBreakBefore w:val="0"/>
        <w:widowControl w:val="0"/>
        <w:numPr>
          <w:ilvl w:val="0"/>
          <w:numId w:val="1"/>
        </w:numPr>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《自治区党委自治区人民政府关于全面实施预算绩效管理的实施意见》（新党发〔2018〕30号）；</w:t>
      </w:r>
    </w:p>
    <w:p w14:paraId="3BB09B41">
      <w:pPr>
        <w:pageBreakBefore w:val="0"/>
        <w:widowControl w:val="0"/>
        <w:numPr>
          <w:ilvl w:val="0"/>
          <w:numId w:val="1"/>
        </w:numPr>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《自治区全面实施预算绩效管理的工作方案》（新财预〔2018〕158号）；</w:t>
      </w:r>
    </w:p>
    <w:p w14:paraId="4BBE60F8">
      <w:pPr>
        <w:pageBreakBefore w:val="0"/>
        <w:widowControl w:val="0"/>
        <w:numPr>
          <w:ilvl w:val="0"/>
          <w:numId w:val="1"/>
        </w:numPr>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《自治区财政支出绩效评价管理暂行办法》（新财预〔2018〕189号）；</w:t>
      </w:r>
    </w:p>
    <w:p w14:paraId="1391495E">
      <w:pPr>
        <w:pageBreakBefore w:val="0"/>
        <w:widowControl w:val="0"/>
        <w:numPr>
          <w:ilvl w:val="0"/>
          <w:numId w:val="1"/>
        </w:numPr>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《关于委托第三方机构参与预算绩效管理的指导意见》（财预〔2021〕6号）；</w:t>
      </w:r>
    </w:p>
    <w:p w14:paraId="1147112E">
      <w:pPr>
        <w:pageBreakBefore w:val="0"/>
        <w:widowControl w:val="0"/>
        <w:numPr>
          <w:ilvl w:val="0"/>
          <w:numId w:val="1"/>
        </w:numPr>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《财政部关于印发〈第三方机构预算绩效评价业务监督管理暂行办法〉的通知》（财监〔2021〕4号）；</w:t>
      </w:r>
    </w:p>
    <w:p w14:paraId="7FF5BEC2">
      <w:pPr>
        <w:pageBreakBefore w:val="0"/>
        <w:widowControl w:val="0"/>
        <w:numPr>
          <w:ilvl w:val="0"/>
          <w:numId w:val="1"/>
        </w:numPr>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《关于进一步加强和规范第三方机构参与预算绩效管理的通知》（新财预〔2021〕49号）；</w:t>
      </w:r>
    </w:p>
    <w:p w14:paraId="48740BFD">
      <w:pPr>
        <w:pageBreakBefore w:val="0"/>
        <w:widowControl w:val="0"/>
        <w:numPr>
          <w:ilvl w:val="0"/>
          <w:numId w:val="1"/>
        </w:numPr>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rPr>
        <w:t>《民政部办公厅关于印发</w:t>
      </w:r>
      <w:r>
        <w:rPr>
          <w:rFonts w:hint="eastAsia" w:cs="Times New Roman"/>
          <w:color w:val="auto"/>
          <w:highlight w:val="none"/>
          <w:lang w:eastAsia="zh-CN"/>
        </w:rPr>
        <w:t>〈</w:t>
      </w:r>
      <w:r>
        <w:rPr>
          <w:rFonts w:hint="default" w:ascii="Times New Roman" w:hAnsi="Times New Roman" w:cs="Times New Roman"/>
          <w:color w:val="auto"/>
          <w:highlight w:val="none"/>
        </w:rPr>
        <w:t>“福彩圆梦•孤儿助学工程”项目实施暂行办法</w:t>
      </w:r>
      <w:r>
        <w:rPr>
          <w:rFonts w:hint="eastAsia" w:cs="Times New Roman"/>
          <w:color w:val="auto"/>
          <w:highlight w:val="none"/>
          <w:lang w:eastAsia="zh-CN"/>
        </w:rPr>
        <w:t>〉的通知》</w:t>
      </w:r>
      <w:r>
        <w:rPr>
          <w:rFonts w:hint="default" w:ascii="Times New Roman" w:hAnsi="Times New Roman" w:cs="Times New Roman"/>
          <w:color w:val="auto"/>
          <w:highlight w:val="none"/>
        </w:rPr>
        <w:t>（民办发〔2019〕24号）</w:t>
      </w:r>
      <w:r>
        <w:rPr>
          <w:rFonts w:hint="eastAsia" w:cs="Times New Roman"/>
          <w:color w:val="auto"/>
          <w:highlight w:val="none"/>
          <w:lang w:eastAsia="zh-CN"/>
        </w:rPr>
        <w:t>；</w:t>
      </w:r>
    </w:p>
    <w:p w14:paraId="3D47F061">
      <w:pPr>
        <w:pageBreakBefore w:val="0"/>
        <w:widowControl w:val="0"/>
        <w:numPr>
          <w:ilvl w:val="0"/>
          <w:numId w:val="1"/>
        </w:numPr>
        <w:kinsoku/>
        <w:wordWrap/>
        <w:overflowPunct/>
        <w:topLinePunct w:val="0"/>
        <w:autoSpaceDE/>
        <w:autoSpaceDN/>
        <w:bidi w:val="0"/>
        <w:adjustRightInd w:val="0"/>
        <w:snapToGrid w:val="0"/>
        <w:spacing w:line="360" w:lineRule="auto"/>
        <w:ind w:firstLine="420"/>
        <w:textAlignment w:val="auto"/>
        <w:rPr>
          <w:rFonts w:hint="eastAsia" w:cs="Times New Roman"/>
          <w:color w:val="auto"/>
          <w:highlight w:val="none"/>
          <w:lang w:val="en-US" w:eastAsia="zh-CN"/>
        </w:rPr>
      </w:pPr>
      <w:r>
        <w:rPr>
          <w:rFonts w:hint="default" w:ascii="Times New Roman" w:hAnsi="Times New Roman" w:cs="Times New Roman" w:eastAsiaTheme="minorEastAsia"/>
          <w:color w:val="auto"/>
          <w:highlight w:val="none"/>
          <w:lang w:eastAsia="zh-CN"/>
        </w:rPr>
        <w:t>《关于提前下达2024年中央专项彩票公益金支持地方社会公益事业发展（社会福利）资金预算的通知》（伊州财综〔2023〕36号）</w:t>
      </w:r>
      <w:r>
        <w:rPr>
          <w:rFonts w:hint="eastAsia" w:cs="Times New Roman"/>
          <w:color w:val="auto"/>
          <w:highlight w:val="none"/>
          <w:lang w:val="en-US" w:eastAsia="zh-CN"/>
        </w:rPr>
        <w:t>等项目资料；</w:t>
      </w:r>
    </w:p>
    <w:p w14:paraId="2C1B57B5">
      <w:pPr>
        <w:pageBreakBefore w:val="0"/>
        <w:widowControl w:val="0"/>
        <w:numPr>
          <w:ilvl w:val="0"/>
          <w:numId w:val="1"/>
        </w:numPr>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rPr>
      </w:pPr>
      <w:r>
        <w:rPr>
          <w:rFonts w:hint="eastAsia" w:cs="Times New Roman"/>
          <w:color w:val="auto"/>
          <w:highlight w:val="none"/>
          <w:lang w:val="en-US" w:eastAsia="zh-CN"/>
        </w:rPr>
        <w:t>《关于申请儿童福利院大中专孤儿“福彩圆梦”助学金的报告》及补助发放资料。</w:t>
      </w:r>
    </w:p>
    <w:p w14:paraId="090080F1">
      <w:pPr>
        <w:pStyle w:val="5"/>
        <w:pageBreakBefore w:val="0"/>
        <w:widowControl w:val="0"/>
        <w:kinsoku/>
        <w:wordWrap/>
        <w:overflowPunct/>
        <w:topLinePunct w:val="0"/>
        <w:autoSpaceDE/>
        <w:autoSpaceDN/>
        <w:bidi w:val="0"/>
        <w:adjustRightInd w:val="0"/>
        <w:snapToGrid w:val="0"/>
        <w:spacing w:before="0" w:after="0" w:line="360" w:lineRule="auto"/>
        <w:ind w:firstLine="482"/>
        <w:textAlignment w:val="auto"/>
        <w:rPr>
          <w:rFonts w:hint="default" w:ascii="Times New Roman" w:hAnsi="Times New Roman" w:cs="Times New Roman"/>
          <w:color w:val="auto"/>
        </w:rPr>
      </w:pPr>
      <w:bookmarkStart w:id="48" w:name="_Toc10202"/>
      <w:r>
        <w:rPr>
          <w:rFonts w:hint="default" w:ascii="Times New Roman" w:hAnsi="Times New Roman" w:cs="Times New Roman"/>
          <w:color w:val="auto"/>
        </w:rPr>
        <w:t>（二）绩效评价目的、对象和范围</w:t>
      </w:r>
      <w:bookmarkEnd w:id="47"/>
      <w:bookmarkEnd w:id="48"/>
    </w:p>
    <w:p w14:paraId="5DC5DD66">
      <w:pPr>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bookmarkStart w:id="49" w:name="_Toc68364662"/>
      <w:r>
        <w:rPr>
          <w:rFonts w:hint="default" w:ascii="Times New Roman" w:hAnsi="Times New Roman" w:cs="Times New Roman"/>
          <w:color w:val="auto"/>
          <w:highlight w:val="none"/>
        </w:rPr>
        <w:t>1.绩效评价目的</w:t>
      </w:r>
    </w:p>
    <w:p w14:paraId="04A51381">
      <w:pPr>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本次</w:t>
      </w:r>
      <w:r>
        <w:rPr>
          <w:rFonts w:hint="default" w:ascii="Times New Roman" w:hAnsi="Times New Roman" w:cs="Times New Roman"/>
          <w:color w:val="auto"/>
          <w:highlight w:val="none"/>
        </w:rPr>
        <w:t>绩效评价的目的是为全面了解该项目预算编</w:t>
      </w:r>
      <w:r>
        <w:rPr>
          <w:rFonts w:hint="default" w:ascii="Times New Roman" w:hAnsi="Times New Roman" w:cs="Times New Roman"/>
          <w:color w:val="auto"/>
          <w:highlight w:val="none"/>
          <w:lang w:eastAsia="zh-CN"/>
        </w:rPr>
        <w:t>制的</w:t>
      </w:r>
      <w:r>
        <w:rPr>
          <w:rFonts w:hint="default" w:ascii="Times New Roman" w:hAnsi="Times New Roman" w:cs="Times New Roman"/>
          <w:color w:val="auto"/>
          <w:highlight w:val="none"/>
        </w:rPr>
        <w:t>合理性、资金使用合规性、项目管理的规范性、项目目标的实现情况、服务对象的满意度等，通过本次项目绩效评价来总结经验和教训，促进项目成果转化和应用，为今后类似项目的长效管理，提供可行性参考建议。</w:t>
      </w:r>
    </w:p>
    <w:p w14:paraId="152FA12B">
      <w:pPr>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eastAsiaTheme="minorEastAsia"/>
          <w:color w:val="auto"/>
          <w:highlight w:val="none"/>
          <w:lang w:val="en-US" w:eastAsia="zh-CN"/>
        </w:rPr>
      </w:pPr>
      <w:r>
        <w:rPr>
          <w:rFonts w:hint="default" w:ascii="Times New Roman" w:hAnsi="Times New Roman" w:cs="Times New Roman"/>
          <w:color w:val="auto"/>
          <w:highlight w:val="none"/>
        </w:rPr>
        <w:t>2.绩效评价对象</w:t>
      </w:r>
      <w:r>
        <w:rPr>
          <w:rFonts w:hint="default" w:ascii="Times New Roman" w:hAnsi="Times New Roman" w:cs="Times New Roman"/>
          <w:color w:val="auto"/>
          <w:highlight w:val="none"/>
          <w:lang w:val="en-US" w:eastAsia="zh-CN"/>
        </w:rPr>
        <w:t>及范围</w:t>
      </w:r>
    </w:p>
    <w:p w14:paraId="51A4A3B6">
      <w:pPr>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本次绩效评价的对象为</w:t>
      </w:r>
      <w:r>
        <w:rPr>
          <w:rFonts w:hint="default" w:ascii="Times New Roman" w:hAnsi="Times New Roman" w:cs="Times New Roman"/>
          <w:color w:val="auto"/>
          <w:lang w:eastAsia="zh-CN"/>
        </w:rPr>
        <w:t>伊宁县</w:t>
      </w:r>
      <w:r>
        <w:rPr>
          <w:rFonts w:hint="default" w:ascii="Times New Roman" w:hAnsi="Times New Roman" w:cs="Times New Roman"/>
          <w:color w:val="auto"/>
        </w:rPr>
        <w:t>民政局“</w:t>
      </w:r>
      <w:r>
        <w:rPr>
          <w:rFonts w:hint="default" w:ascii="Times New Roman" w:hAnsi="Times New Roman" w:cs="Times New Roman"/>
          <w:color w:val="auto"/>
          <w:lang w:eastAsia="zh-CN"/>
        </w:rPr>
        <w:t>福彩圆梦</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lang w:eastAsia="zh-CN"/>
        </w:rPr>
        <w:t>孤儿助学工程</w:t>
      </w:r>
      <w:r>
        <w:rPr>
          <w:rFonts w:hint="default" w:ascii="Times New Roman" w:hAnsi="Times New Roman" w:cs="Times New Roman"/>
          <w:color w:val="auto"/>
        </w:rPr>
        <w:t>”</w:t>
      </w:r>
      <w:r>
        <w:rPr>
          <w:rFonts w:hint="default" w:ascii="Times New Roman" w:hAnsi="Times New Roman" w:cs="Times New Roman"/>
          <w:color w:val="auto"/>
          <w:lang w:val="en-US" w:eastAsia="zh-CN"/>
        </w:rPr>
        <w:t>项目</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主要对该项目的</w:t>
      </w:r>
      <w:r>
        <w:rPr>
          <w:rFonts w:hint="default" w:ascii="Times New Roman" w:hAnsi="Times New Roman" w:cs="Times New Roman"/>
          <w:color w:val="auto"/>
          <w:highlight w:val="none"/>
        </w:rPr>
        <w:t>决策情况、资金管理</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使用情况</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相关管理制度办法的健全性及执行情况、实现的产出情况、取得的效益情况以及其他相关内容。</w:t>
      </w:r>
    </w:p>
    <w:p w14:paraId="31FAA923">
      <w:pPr>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3.</w:t>
      </w:r>
      <w:r>
        <w:rPr>
          <w:rFonts w:hint="default" w:ascii="Times New Roman" w:hAnsi="Times New Roman" w:cs="Times New Roman"/>
          <w:color w:val="auto"/>
          <w:highlight w:val="none"/>
        </w:rPr>
        <w:t>绩效评价时段</w:t>
      </w:r>
    </w:p>
    <w:p w14:paraId="2B267E61">
      <w:pPr>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本次绩效评价评价时段为</w:t>
      </w:r>
      <w:r>
        <w:rPr>
          <w:rFonts w:hint="default" w:ascii="Times New Roman" w:hAnsi="Times New Roman" w:cs="Times New Roman"/>
          <w:color w:val="auto"/>
          <w:highlight w:val="none"/>
          <w:lang w:eastAsia="zh-CN"/>
        </w:rPr>
        <w:t>：</w:t>
      </w:r>
      <w:r>
        <w:rPr>
          <w:rFonts w:hint="default" w:ascii="Times New Roman" w:hAnsi="Times New Roman" w:cs="Times New Roman"/>
          <w:color w:val="auto"/>
          <w:lang w:eastAsia="zh-CN"/>
        </w:rPr>
        <w:t>2024</w:t>
      </w:r>
      <w:r>
        <w:rPr>
          <w:rFonts w:hint="default" w:ascii="Times New Roman" w:hAnsi="Times New Roman" w:cs="Times New Roman"/>
          <w:color w:val="auto"/>
          <w:lang w:eastAsia="zh-Hans"/>
        </w:rPr>
        <w:t>年</w:t>
      </w:r>
      <w:r>
        <w:rPr>
          <w:rFonts w:hint="default" w:ascii="Times New Roman" w:hAnsi="Times New Roman" w:cs="Times New Roman"/>
          <w:color w:val="auto"/>
        </w:rPr>
        <w:t>1</w:t>
      </w:r>
      <w:r>
        <w:rPr>
          <w:rFonts w:hint="default" w:ascii="Times New Roman" w:hAnsi="Times New Roman" w:cs="Times New Roman"/>
          <w:color w:val="auto"/>
          <w:lang w:eastAsia="zh-Hans"/>
        </w:rPr>
        <w:t>月</w:t>
      </w:r>
      <w:r>
        <w:rPr>
          <w:rFonts w:hint="default" w:ascii="Times New Roman" w:hAnsi="Times New Roman" w:cs="Times New Roman"/>
          <w:color w:val="auto"/>
        </w:rPr>
        <w:t>1</w:t>
      </w:r>
      <w:r>
        <w:rPr>
          <w:rFonts w:hint="default" w:ascii="Times New Roman" w:hAnsi="Times New Roman" w:cs="Times New Roman"/>
          <w:color w:val="auto"/>
          <w:lang w:eastAsia="zh-Hans"/>
        </w:rPr>
        <w:t>日至</w:t>
      </w:r>
      <w:r>
        <w:rPr>
          <w:rFonts w:hint="default" w:ascii="Times New Roman" w:hAnsi="Times New Roman" w:cs="Times New Roman"/>
          <w:color w:val="auto"/>
          <w:lang w:eastAsia="zh-CN"/>
        </w:rPr>
        <w:t>2024</w:t>
      </w:r>
      <w:r>
        <w:rPr>
          <w:rFonts w:hint="default" w:ascii="Times New Roman" w:hAnsi="Times New Roman" w:cs="Times New Roman"/>
          <w:color w:val="auto"/>
          <w:lang w:eastAsia="zh-Hans"/>
        </w:rPr>
        <w:t>年</w:t>
      </w:r>
      <w:r>
        <w:rPr>
          <w:rFonts w:hint="default" w:ascii="Times New Roman" w:hAnsi="Times New Roman" w:cs="Times New Roman"/>
          <w:color w:val="auto"/>
        </w:rPr>
        <w:t>12</w:t>
      </w:r>
      <w:r>
        <w:rPr>
          <w:rFonts w:hint="default" w:ascii="Times New Roman" w:hAnsi="Times New Roman" w:cs="Times New Roman"/>
          <w:color w:val="auto"/>
          <w:lang w:eastAsia="zh-Hans"/>
        </w:rPr>
        <w:t>月</w:t>
      </w:r>
      <w:r>
        <w:rPr>
          <w:rFonts w:hint="default" w:ascii="Times New Roman" w:hAnsi="Times New Roman" w:cs="Times New Roman"/>
          <w:color w:val="auto"/>
        </w:rPr>
        <w:t>30</w:t>
      </w:r>
      <w:r>
        <w:rPr>
          <w:rFonts w:hint="default" w:ascii="Times New Roman" w:hAnsi="Times New Roman" w:cs="Times New Roman"/>
          <w:color w:val="auto"/>
          <w:lang w:eastAsia="zh-Hans"/>
        </w:rPr>
        <w:t>日</w:t>
      </w:r>
      <w:r>
        <w:rPr>
          <w:rFonts w:hint="default" w:ascii="Times New Roman" w:hAnsi="Times New Roman" w:cs="Times New Roman"/>
          <w:color w:val="auto"/>
          <w:highlight w:val="none"/>
        </w:rPr>
        <w:t>。</w:t>
      </w:r>
    </w:p>
    <w:p w14:paraId="5613D351">
      <w:pPr>
        <w:pStyle w:val="5"/>
        <w:pageBreakBefore w:val="0"/>
        <w:widowControl w:val="0"/>
        <w:kinsoku/>
        <w:wordWrap/>
        <w:overflowPunct/>
        <w:topLinePunct w:val="0"/>
        <w:autoSpaceDE/>
        <w:autoSpaceDN/>
        <w:bidi w:val="0"/>
        <w:adjustRightInd w:val="0"/>
        <w:snapToGrid w:val="0"/>
        <w:spacing w:before="0" w:after="0" w:line="360" w:lineRule="auto"/>
        <w:ind w:firstLine="482"/>
        <w:textAlignment w:val="auto"/>
        <w:rPr>
          <w:rFonts w:hint="default" w:ascii="Times New Roman" w:hAnsi="Times New Roman" w:cs="Times New Roman"/>
          <w:color w:val="auto"/>
        </w:rPr>
      </w:pPr>
      <w:bookmarkStart w:id="50" w:name="_Toc9889"/>
      <w:r>
        <w:rPr>
          <w:rFonts w:hint="default" w:ascii="Times New Roman" w:hAnsi="Times New Roman" w:cs="Times New Roman"/>
          <w:color w:val="auto"/>
        </w:rPr>
        <w:t>（三）绩效评价原则</w:t>
      </w:r>
      <w:bookmarkEnd w:id="49"/>
      <w:bookmarkEnd w:id="50"/>
    </w:p>
    <w:p w14:paraId="38B143F8">
      <w:pPr>
        <w:pageBreakBefore w:val="0"/>
        <w:widowControl w:val="0"/>
        <w:kinsoku/>
        <w:wordWrap/>
        <w:overflowPunct/>
        <w:topLinePunct w:val="0"/>
        <w:autoSpaceDE/>
        <w:autoSpaceDN/>
        <w:bidi w:val="0"/>
        <w:adjustRightInd w:val="0"/>
        <w:snapToGrid w:val="0"/>
        <w:spacing w:line="360" w:lineRule="auto"/>
        <w:ind w:firstLine="0"/>
        <w:textAlignment w:val="auto"/>
        <w:rPr>
          <w:rFonts w:hint="default" w:ascii="Times New Roman" w:hAnsi="Times New Roman" w:cs="Times New Roman"/>
          <w:color w:val="auto"/>
        </w:rPr>
      </w:pPr>
      <w:r>
        <w:rPr>
          <w:rFonts w:hint="default" w:ascii="Times New Roman" w:hAnsi="Times New Roman" w:cs="Times New Roman"/>
          <w:color w:val="auto"/>
        </w:rPr>
        <w:t>本次绩效评价遵循的原则包括：</w:t>
      </w:r>
    </w:p>
    <w:p w14:paraId="514E6F1C">
      <w:pPr>
        <w:pageBreakBefore w:val="0"/>
        <w:widowControl w:val="0"/>
        <w:kinsoku/>
        <w:wordWrap/>
        <w:overflowPunct/>
        <w:topLinePunct w:val="0"/>
        <w:autoSpaceDE/>
        <w:autoSpaceDN/>
        <w:bidi w:val="0"/>
        <w:adjustRightInd w:val="0"/>
        <w:snapToGrid w:val="0"/>
        <w:spacing w:line="360" w:lineRule="auto"/>
        <w:ind w:firstLine="0"/>
        <w:textAlignment w:val="auto"/>
        <w:rPr>
          <w:rFonts w:hint="default" w:ascii="Times New Roman" w:hAnsi="Times New Roman" w:cs="Times New Roman"/>
          <w:color w:val="auto"/>
        </w:rPr>
      </w:pPr>
      <w:r>
        <w:rPr>
          <w:rFonts w:hint="default" w:ascii="Times New Roman" w:hAnsi="Times New Roman" w:cs="Times New Roman"/>
          <w:color w:val="auto"/>
        </w:rPr>
        <w:t>（1）独立性原则：在评价工作中保持充分的第三方独立性，不受其他第三方不当干预。</w:t>
      </w:r>
    </w:p>
    <w:p w14:paraId="5C80B3AF">
      <w:pPr>
        <w:pageBreakBefore w:val="0"/>
        <w:widowControl w:val="0"/>
        <w:kinsoku/>
        <w:wordWrap/>
        <w:overflowPunct/>
        <w:topLinePunct w:val="0"/>
        <w:autoSpaceDE/>
        <w:autoSpaceDN/>
        <w:bidi w:val="0"/>
        <w:adjustRightInd w:val="0"/>
        <w:snapToGrid w:val="0"/>
        <w:spacing w:line="360" w:lineRule="auto"/>
        <w:ind w:firstLine="0"/>
        <w:textAlignment w:val="auto"/>
        <w:rPr>
          <w:rFonts w:hint="default" w:ascii="Times New Roman" w:hAnsi="Times New Roman" w:cs="Times New Roman"/>
          <w:color w:val="auto"/>
        </w:rPr>
      </w:pPr>
      <w:r>
        <w:rPr>
          <w:rFonts w:hint="default" w:ascii="Times New Roman" w:hAnsi="Times New Roman" w:cs="Times New Roman"/>
          <w:color w:val="auto"/>
        </w:rPr>
        <w:t>（2）客观性原则：第三方机构应当按照协议（合同）约定事项开展绩效评价，以客观事实为依据，实事求是地向委托方提供服务。</w:t>
      </w:r>
    </w:p>
    <w:p w14:paraId="5CA546AE">
      <w:pPr>
        <w:pageBreakBefore w:val="0"/>
        <w:widowControl w:val="0"/>
        <w:kinsoku/>
        <w:wordWrap/>
        <w:overflowPunct/>
        <w:topLinePunct w:val="0"/>
        <w:autoSpaceDE/>
        <w:autoSpaceDN/>
        <w:bidi w:val="0"/>
        <w:adjustRightInd w:val="0"/>
        <w:snapToGrid w:val="0"/>
        <w:spacing w:line="360" w:lineRule="auto"/>
        <w:ind w:firstLine="0"/>
        <w:textAlignment w:val="auto"/>
        <w:rPr>
          <w:rFonts w:hint="default" w:ascii="Times New Roman" w:hAnsi="Times New Roman" w:cs="Times New Roman"/>
          <w:color w:val="auto"/>
        </w:rPr>
      </w:pPr>
      <w:r>
        <w:rPr>
          <w:rFonts w:hint="default" w:ascii="Times New Roman" w:hAnsi="Times New Roman" w:cs="Times New Roman"/>
          <w:color w:val="auto"/>
        </w:rPr>
        <w:t>（3）科学性原则。第三方机构应当履行必要评价程序，对原始资料进行核查验证，选择一种或多种方法进行对比分析，形成结论并出具评价报告。</w:t>
      </w:r>
    </w:p>
    <w:p w14:paraId="5DFA9377">
      <w:pPr>
        <w:pageBreakBefore w:val="0"/>
        <w:widowControl w:val="0"/>
        <w:kinsoku/>
        <w:wordWrap/>
        <w:overflowPunct/>
        <w:topLinePunct w:val="0"/>
        <w:autoSpaceDE/>
        <w:autoSpaceDN/>
        <w:bidi w:val="0"/>
        <w:adjustRightInd w:val="0"/>
        <w:snapToGrid w:val="0"/>
        <w:spacing w:line="360" w:lineRule="auto"/>
        <w:ind w:firstLine="0"/>
        <w:textAlignment w:val="auto"/>
        <w:rPr>
          <w:rFonts w:hint="default" w:ascii="Times New Roman" w:hAnsi="Times New Roman" w:cs="Times New Roman"/>
          <w:color w:val="auto"/>
        </w:rPr>
      </w:pPr>
      <w:r>
        <w:rPr>
          <w:rFonts w:hint="default" w:ascii="Times New Roman" w:hAnsi="Times New Roman" w:cs="Times New Roman"/>
          <w:color w:val="auto"/>
        </w:rPr>
        <w:t>（4）公正性原则：在评价过程中坚持公正、客观地反映实际情况，不隐瞒、弄虚作假。</w:t>
      </w:r>
    </w:p>
    <w:p w14:paraId="5ACDC2E0">
      <w:pPr>
        <w:keepNext w:val="0"/>
        <w:keepLines w:val="0"/>
        <w:pageBreakBefore w:val="0"/>
        <w:widowControl w:val="0"/>
        <w:kinsoku/>
        <w:wordWrap/>
        <w:overflowPunct/>
        <w:topLinePunct w:val="0"/>
        <w:autoSpaceDE/>
        <w:autoSpaceDN/>
        <w:bidi w:val="0"/>
        <w:adjustRightInd w:val="0"/>
        <w:snapToGrid w:val="0"/>
        <w:spacing w:line="360" w:lineRule="auto"/>
        <w:ind w:firstLine="482"/>
        <w:textAlignment w:val="auto"/>
        <w:outlineLvl w:val="1"/>
        <w:rPr>
          <w:rFonts w:hint="default" w:ascii="Times New Roman" w:hAnsi="Times New Roman" w:cs="Times New Roman"/>
          <w:b/>
          <w:bCs/>
          <w:color w:val="auto"/>
          <w:sz w:val="24"/>
          <w:szCs w:val="28"/>
          <w:highlight w:val="none"/>
        </w:rPr>
      </w:pPr>
      <w:bookmarkStart w:id="51" w:name="_Toc14077"/>
      <w:bookmarkStart w:id="52" w:name="_Toc28872"/>
      <w:r>
        <w:rPr>
          <w:rFonts w:hint="default" w:ascii="Times New Roman" w:hAnsi="Times New Roman" w:cs="Times New Roman"/>
          <w:b/>
          <w:bCs/>
          <w:color w:val="auto"/>
          <w:sz w:val="24"/>
          <w:szCs w:val="28"/>
          <w:highlight w:val="none"/>
          <w:lang w:eastAsia="zh-CN"/>
        </w:rPr>
        <w:t>（</w:t>
      </w:r>
      <w:r>
        <w:rPr>
          <w:rFonts w:hint="default" w:ascii="Times New Roman" w:hAnsi="Times New Roman" w:cs="Times New Roman"/>
          <w:b/>
          <w:bCs/>
          <w:color w:val="auto"/>
          <w:sz w:val="24"/>
          <w:szCs w:val="28"/>
          <w:highlight w:val="none"/>
          <w:lang w:val="en-US" w:eastAsia="zh-CN"/>
        </w:rPr>
        <w:t>四</w:t>
      </w:r>
      <w:r>
        <w:rPr>
          <w:rStyle w:val="33"/>
          <w:rFonts w:hint="default" w:ascii="Times New Roman" w:hAnsi="Times New Roman" w:cs="Times New Roman"/>
          <w:color w:val="auto"/>
          <w:highlight w:val="none"/>
          <w:lang w:eastAsia="zh-CN"/>
        </w:rPr>
        <w:t>）</w:t>
      </w:r>
      <w:r>
        <w:rPr>
          <w:rStyle w:val="33"/>
          <w:rFonts w:hint="default" w:ascii="Times New Roman" w:hAnsi="Times New Roman" w:cs="Times New Roman"/>
          <w:color w:val="auto"/>
          <w:highlight w:val="none"/>
          <w:lang w:val="en-US" w:eastAsia="zh-CN"/>
        </w:rPr>
        <w:t>绩效评价标准</w:t>
      </w:r>
      <w:bookmarkEnd w:id="51"/>
      <w:bookmarkEnd w:id="52"/>
    </w:p>
    <w:p w14:paraId="7BEA177C">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color w:val="auto"/>
        </w:rPr>
      </w:pPr>
      <w:r>
        <w:rPr>
          <w:rFonts w:hint="default" w:ascii="Times New Roman" w:hAnsi="Times New Roman" w:cs="Times New Roman"/>
          <w:color w:val="auto"/>
        </w:rPr>
        <w:t>绩效评价标准通常包括计划标准、行业标准、历史标准等。</w:t>
      </w:r>
      <w:r>
        <w:rPr>
          <w:rFonts w:hint="default" w:ascii="Times New Roman" w:hAnsi="Times New Roman" w:cs="Times New Roman"/>
          <w:color w:val="auto"/>
          <w:highlight w:val="none"/>
        </w:rPr>
        <w:t>本次绩效评价采用计划标准，</w:t>
      </w:r>
      <w:r>
        <w:rPr>
          <w:rFonts w:hint="default" w:ascii="Times New Roman" w:hAnsi="Times New Roman" w:cs="Times New Roman"/>
          <w:color w:val="auto"/>
        </w:rPr>
        <w:t>本次绩效评价优先参照国家公布的行业指标数据制定的评价标准</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无行业标准的</w:t>
      </w:r>
      <w:r>
        <w:rPr>
          <w:rFonts w:hint="default" w:ascii="Times New Roman" w:hAnsi="Times New Roman" w:cs="Times New Roman"/>
          <w:color w:val="auto"/>
          <w:highlight w:val="none"/>
        </w:rPr>
        <w:t>以预先制定的目标、计划、预算、定额等作为评价标准，对比分析项目产出、效益的完成情况。对于定性指标，通过文献查阅、问卷调查及访谈方式，采集相关数据，运用等级描述法，设置分级标准，体现该指标认可程度的差异。对于定量指标，通过公式计算、数据统计等方式予以量化，可以准确衡量，并设定目标值的考核指标。</w:t>
      </w:r>
    </w:p>
    <w:p w14:paraId="16C0A28D">
      <w:pPr>
        <w:pStyle w:val="5"/>
        <w:pageBreakBefore w:val="0"/>
        <w:widowControl w:val="0"/>
        <w:kinsoku/>
        <w:wordWrap/>
        <w:overflowPunct/>
        <w:topLinePunct w:val="0"/>
        <w:autoSpaceDE/>
        <w:autoSpaceDN/>
        <w:bidi w:val="0"/>
        <w:adjustRightInd w:val="0"/>
        <w:snapToGrid w:val="0"/>
        <w:spacing w:before="0" w:after="0" w:line="360" w:lineRule="auto"/>
        <w:ind w:firstLine="482"/>
        <w:textAlignment w:val="auto"/>
        <w:rPr>
          <w:rFonts w:hint="default" w:ascii="Times New Roman" w:hAnsi="Times New Roman" w:cs="Times New Roman"/>
          <w:color w:val="auto"/>
        </w:rPr>
      </w:pPr>
      <w:bookmarkStart w:id="53" w:name="_Toc26704"/>
      <w:r>
        <w:rPr>
          <w:rFonts w:hint="default" w:ascii="Times New Roman" w:hAnsi="Times New Roman" w:cs="Times New Roman"/>
          <w:color w:val="auto"/>
        </w:rPr>
        <w:t>（</w:t>
      </w:r>
      <w:r>
        <w:rPr>
          <w:rFonts w:hint="default" w:ascii="Times New Roman" w:hAnsi="Times New Roman" w:cs="Times New Roman"/>
          <w:color w:val="auto"/>
          <w:lang w:val="en-US" w:eastAsia="zh-CN"/>
        </w:rPr>
        <w:t>五</w:t>
      </w:r>
      <w:r>
        <w:rPr>
          <w:rFonts w:hint="default" w:ascii="Times New Roman" w:hAnsi="Times New Roman" w:cs="Times New Roman"/>
          <w:color w:val="auto"/>
        </w:rPr>
        <w:t>）绩效评价方法</w:t>
      </w:r>
      <w:bookmarkEnd w:id="53"/>
    </w:p>
    <w:p w14:paraId="71ACDFF7">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rPr>
      </w:pPr>
      <w:r>
        <w:rPr>
          <w:rFonts w:hint="default" w:ascii="Times New Roman" w:hAnsi="Times New Roman" w:cs="Times New Roman"/>
          <w:color w:val="auto"/>
        </w:rPr>
        <w:t>正确的评价方法是评价工作顺利开展的保障，在结合实际经验的情况下，绩效评价小组根据该项目资金的性质和特点，</w:t>
      </w:r>
      <w:r>
        <w:rPr>
          <w:rFonts w:hint="default" w:ascii="Times New Roman" w:hAnsi="Times New Roman" w:cs="Times New Roman"/>
          <w:b w:val="0"/>
          <w:bCs w:val="0"/>
          <w:color w:val="auto"/>
        </w:rPr>
        <w:t>选用比较法、因素分析法、公众评判法对</w:t>
      </w:r>
      <w:r>
        <w:rPr>
          <w:rFonts w:hint="default" w:ascii="Times New Roman" w:hAnsi="Times New Roman" w:cs="Times New Roman"/>
          <w:color w:val="auto"/>
        </w:rPr>
        <w:t>项目进行评价，旨在通过综合分析影响绩效目标实现、实施效果的内外部因素，从而评价该项目绩效。</w:t>
      </w:r>
    </w:p>
    <w:p w14:paraId="40E8C9DB">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rPr>
      </w:pPr>
      <w:r>
        <w:rPr>
          <w:rFonts w:hint="default" w:ascii="Times New Roman" w:hAnsi="Times New Roman" w:cs="Times New Roman"/>
          <w:color w:val="auto"/>
        </w:rPr>
        <w:t>（1）项目决策类指标评价方法</w:t>
      </w:r>
    </w:p>
    <w:p w14:paraId="68C133A4">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rPr>
      </w:pPr>
      <w:r>
        <w:rPr>
          <w:rFonts w:hint="default" w:ascii="Times New Roman" w:hAnsi="Times New Roman" w:cs="Times New Roman"/>
          <w:color w:val="auto"/>
        </w:rPr>
        <w:t>立项依据充分性：比较法和文献法，查找法律法规政策以及规划，对比实际执行内容和政策支持内容是否匹配，分析立项依据充分性。</w:t>
      </w:r>
    </w:p>
    <w:p w14:paraId="28837751">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rPr>
      </w:pPr>
      <w:r>
        <w:rPr>
          <w:rFonts w:hint="default" w:ascii="Times New Roman" w:hAnsi="Times New Roman" w:cs="Times New Roman"/>
          <w:color w:val="auto"/>
        </w:rPr>
        <w:t>立项程序规范性：比较法和文献法，查找相关项目设立的政策和文件要求，对比分析实际执行程序是否按照政策及文件要求执行，分析立项程序的规范性。</w:t>
      </w:r>
    </w:p>
    <w:p w14:paraId="4C30A887">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rPr>
      </w:pPr>
      <w:r>
        <w:rPr>
          <w:rFonts w:hint="default" w:ascii="Times New Roman" w:hAnsi="Times New Roman" w:cs="Times New Roman"/>
          <w:color w:val="auto"/>
        </w:rPr>
        <w:t>绩效目标合理性：文献法和因素分析法，对比分析年初编制项目支出绩效目标表与项目内容的相关性、资金的匹配性等。</w:t>
      </w:r>
    </w:p>
    <w:p w14:paraId="5389278D">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rPr>
      </w:pPr>
      <w:r>
        <w:rPr>
          <w:rFonts w:hint="default" w:ascii="Times New Roman" w:hAnsi="Times New Roman" w:cs="Times New Roman"/>
          <w:color w:val="auto"/>
        </w:rPr>
        <w:t>预算编制科学性：比较法和因素分析法，项目预算编制是否经过科学论证、有明确标准，资金额度与年度目标是否相适应，用以反映和考核项目预算编制的科学性、合理性情况。</w:t>
      </w:r>
    </w:p>
    <w:p w14:paraId="04E1BE00">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rPr>
      </w:pPr>
      <w:r>
        <w:rPr>
          <w:rFonts w:hint="default" w:ascii="Times New Roman" w:hAnsi="Times New Roman" w:cs="Times New Roman"/>
          <w:color w:val="auto"/>
        </w:rPr>
        <w:t>资金分配合理性：因素分析法，综合分析资金的分配依据是否充分，分配金额是否与项目实施单位需求金额一致。</w:t>
      </w:r>
    </w:p>
    <w:p w14:paraId="6191BD45">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rPr>
      </w:pPr>
      <w:r>
        <w:rPr>
          <w:rFonts w:hint="default" w:ascii="Times New Roman" w:hAnsi="Times New Roman" w:cs="Times New Roman"/>
          <w:color w:val="auto"/>
        </w:rPr>
        <w:t>（2）项目过程类指标评价方法</w:t>
      </w:r>
    </w:p>
    <w:p w14:paraId="24AA2E49">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rPr>
      </w:pPr>
      <w:r>
        <w:rPr>
          <w:rFonts w:hint="default" w:ascii="Times New Roman" w:hAnsi="Times New Roman" w:cs="Times New Roman"/>
          <w:color w:val="auto"/>
        </w:rPr>
        <w:t>资金到位率：比较法和因素分析法，项目是否完成且资金到位数满足年度预算规模需求；项目尚未完成，分析实际完成值和预期指标值之间的差距和原因。</w:t>
      </w:r>
    </w:p>
    <w:p w14:paraId="23A87ECE">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rPr>
      </w:pPr>
      <w:r>
        <w:rPr>
          <w:rFonts w:hint="default" w:ascii="Times New Roman" w:hAnsi="Times New Roman" w:cs="Times New Roman"/>
          <w:color w:val="auto"/>
        </w:rPr>
        <w:t>预算执行率：比较法和因素分析法，项目是否完成且执行数控制在年度预算规模之内的；项目尚未完成，并分析实际完成值和预期指标值之间的差距和原因。</w:t>
      </w:r>
    </w:p>
    <w:p w14:paraId="4B904E35">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rPr>
      </w:pPr>
      <w:r>
        <w:rPr>
          <w:rFonts w:hint="default" w:ascii="Times New Roman" w:hAnsi="Times New Roman" w:cs="Times New Roman"/>
          <w:color w:val="auto"/>
        </w:rPr>
        <w:t>资金使用合规性：比较法</w:t>
      </w:r>
      <w:r>
        <w:rPr>
          <w:rFonts w:hint="default" w:ascii="Times New Roman" w:hAnsi="Times New Roman" w:cs="Times New Roman"/>
          <w:color w:val="auto"/>
          <w:lang w:val="en-US" w:eastAsia="zh-CN"/>
        </w:rPr>
        <w:t>和</w:t>
      </w:r>
      <w:r>
        <w:rPr>
          <w:rFonts w:hint="default" w:ascii="Times New Roman" w:hAnsi="Times New Roman" w:cs="Times New Roman"/>
          <w:color w:val="auto"/>
        </w:rPr>
        <w:t>因素分析法，通过实地调研，检查项目资金使用情况，对比专项资金管理办法要求，分析资金使用合规性。</w:t>
      </w:r>
    </w:p>
    <w:p w14:paraId="1ADEAFF2">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rPr>
      </w:pPr>
      <w:r>
        <w:rPr>
          <w:rFonts w:hint="default" w:ascii="Times New Roman" w:hAnsi="Times New Roman" w:cs="Times New Roman"/>
          <w:color w:val="auto"/>
        </w:rPr>
        <w:t>管理制度健全性：比较法</w:t>
      </w:r>
      <w:r>
        <w:rPr>
          <w:rFonts w:hint="default" w:ascii="Times New Roman" w:hAnsi="Times New Roman" w:cs="Times New Roman"/>
          <w:color w:val="auto"/>
          <w:lang w:val="en-US" w:eastAsia="zh-CN"/>
        </w:rPr>
        <w:t>和</w:t>
      </w:r>
      <w:r>
        <w:rPr>
          <w:rFonts w:hint="default" w:ascii="Times New Roman" w:hAnsi="Times New Roman" w:cs="Times New Roman"/>
          <w:color w:val="auto"/>
        </w:rPr>
        <w:t>因素分析法，</w:t>
      </w:r>
      <w:r>
        <w:rPr>
          <w:rFonts w:hint="default" w:ascii="Times New Roman" w:hAnsi="Times New Roman" w:cs="Times New Roman"/>
          <w:color w:val="auto"/>
          <w:lang w:val="en-US" w:eastAsia="zh-CN"/>
        </w:rPr>
        <w:t>项目</w:t>
      </w:r>
      <w:r>
        <w:rPr>
          <w:rFonts w:hint="default" w:ascii="Times New Roman" w:hAnsi="Times New Roman" w:cs="Times New Roman"/>
          <w:color w:val="auto"/>
        </w:rPr>
        <w:t>是否已制定或具有相应的财务和业务管理制度；财务和业务管理制度是否合法、合规、完整。</w:t>
      </w:r>
    </w:p>
    <w:p w14:paraId="26B92DEF">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lang w:val="en-US" w:eastAsia="zh-CN"/>
        </w:rPr>
      </w:pPr>
      <w:r>
        <w:rPr>
          <w:rFonts w:hint="default" w:ascii="Times New Roman" w:hAnsi="Times New Roman" w:cs="Times New Roman"/>
          <w:color w:val="auto"/>
        </w:rPr>
        <w:t>制度执行有效性：比较法</w:t>
      </w:r>
      <w:r>
        <w:rPr>
          <w:rFonts w:hint="default" w:ascii="Times New Roman" w:hAnsi="Times New Roman" w:cs="Times New Roman"/>
          <w:color w:val="auto"/>
          <w:lang w:val="en-US" w:eastAsia="zh-CN"/>
        </w:rPr>
        <w:t>和</w:t>
      </w:r>
      <w:r>
        <w:rPr>
          <w:rFonts w:hint="default" w:ascii="Times New Roman" w:hAnsi="Times New Roman" w:cs="Times New Roman"/>
          <w:color w:val="auto"/>
        </w:rPr>
        <w:t>因素分析法，</w:t>
      </w:r>
      <w:r>
        <w:rPr>
          <w:rFonts w:hint="default" w:ascii="Times New Roman" w:hAnsi="Times New Roman" w:cs="Times New Roman"/>
          <w:color w:val="auto"/>
          <w:lang w:val="en-US" w:eastAsia="zh-CN"/>
        </w:rPr>
        <w:t>项目是否遵守《“福彩圆梦·孤儿助学工程”项目实施暂行办法》（民办发〔2019〕24号）相关管理规定，资金支付是否履行“三重一大”程序进行支付；项目调整及支出调整手续是否完备；项目孤儿认定资料，支付凭证等资料是否齐全并及时归档；是否按时公示。</w:t>
      </w:r>
    </w:p>
    <w:p w14:paraId="1907422E">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rPr>
      </w:pPr>
      <w:r>
        <w:rPr>
          <w:rFonts w:hint="default" w:ascii="Times New Roman" w:hAnsi="Times New Roman" w:cs="Times New Roman"/>
          <w:color w:val="auto"/>
        </w:rPr>
        <w:t>（3）项目产出类指标评价方法</w:t>
      </w:r>
    </w:p>
    <w:p w14:paraId="14AA5B91">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eastAsiaTheme="minorEastAsia"/>
          <w:color w:val="auto"/>
          <w:lang w:eastAsia="zh-CN"/>
        </w:rPr>
      </w:pPr>
      <w:r>
        <w:rPr>
          <w:rFonts w:hint="default" w:ascii="Times New Roman" w:hAnsi="Times New Roman" w:cs="Times New Roman"/>
          <w:color w:val="auto"/>
        </w:rPr>
        <w:t>受助孤儿人数</w:t>
      </w:r>
      <w:r>
        <w:rPr>
          <w:rFonts w:hint="default" w:ascii="Times New Roman" w:hAnsi="Times New Roman" w:cs="Times New Roman"/>
          <w:color w:val="auto"/>
          <w:lang w:eastAsia="zh-CN"/>
        </w:rPr>
        <w:t>：</w:t>
      </w:r>
      <w:r>
        <w:rPr>
          <w:rFonts w:hint="default" w:ascii="Times New Roman" w:hAnsi="Times New Roman" w:cs="Times New Roman"/>
          <w:color w:val="auto"/>
        </w:rPr>
        <w:t>比较法</w:t>
      </w:r>
      <w:r>
        <w:rPr>
          <w:rFonts w:hint="default" w:ascii="Times New Roman" w:hAnsi="Times New Roman" w:cs="Times New Roman"/>
          <w:color w:val="auto"/>
          <w:lang w:val="en-US" w:eastAsia="zh-CN"/>
        </w:rPr>
        <w:t>和</w:t>
      </w:r>
      <w:r>
        <w:rPr>
          <w:rFonts w:hint="default" w:ascii="Times New Roman" w:hAnsi="Times New Roman" w:cs="Times New Roman"/>
          <w:color w:val="auto"/>
        </w:rPr>
        <w:t>因素分析法</w:t>
      </w:r>
      <w:r>
        <w:rPr>
          <w:rFonts w:hint="default" w:ascii="Times New Roman" w:hAnsi="Times New Roman" w:cs="Times New Roman"/>
          <w:color w:val="auto"/>
          <w:lang w:eastAsia="zh-CN"/>
        </w:rPr>
        <w:t>，考核项目受助孤儿人数实现情况，</w:t>
      </w:r>
      <w:r>
        <w:rPr>
          <w:rFonts w:hint="default" w:ascii="Times New Roman" w:hAnsi="Times New Roman" w:cs="Times New Roman"/>
          <w:color w:val="auto"/>
        </w:rPr>
        <w:t>受助孤儿人数是否与项目实施单位</w:t>
      </w:r>
      <w:r>
        <w:rPr>
          <w:rFonts w:hint="default" w:ascii="Times New Roman" w:hAnsi="Times New Roman" w:cs="Times New Roman"/>
          <w:color w:val="auto"/>
          <w:lang w:val="en-US" w:eastAsia="zh-CN"/>
        </w:rPr>
        <w:t>申报人数</w:t>
      </w:r>
      <w:r>
        <w:rPr>
          <w:rFonts w:hint="default" w:ascii="Times New Roman" w:hAnsi="Times New Roman" w:cs="Times New Roman"/>
          <w:color w:val="auto"/>
        </w:rPr>
        <w:t>一致</w:t>
      </w:r>
      <w:r>
        <w:rPr>
          <w:rFonts w:hint="default" w:ascii="Times New Roman" w:hAnsi="Times New Roman" w:cs="Times New Roman"/>
          <w:color w:val="auto"/>
          <w:lang w:eastAsia="zh-CN"/>
        </w:rPr>
        <w:t>。</w:t>
      </w:r>
    </w:p>
    <w:p w14:paraId="6B6E6F1C">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资助对象符合性：</w:t>
      </w:r>
      <w:r>
        <w:rPr>
          <w:rFonts w:hint="default" w:ascii="Times New Roman" w:hAnsi="Times New Roman" w:cs="Times New Roman"/>
          <w:color w:val="auto"/>
        </w:rPr>
        <w:t>比较法</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本次享受资助孤儿是否符合《“福彩圆梦·孤儿助学工程”项目实施暂行办法》（民办发〔2019〕24号）规定。</w:t>
      </w:r>
    </w:p>
    <w:p w14:paraId="549DFE18">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助学金发放及时率：</w:t>
      </w:r>
      <w:r>
        <w:rPr>
          <w:rFonts w:hint="default" w:ascii="Times New Roman" w:hAnsi="Times New Roman" w:cs="Times New Roman"/>
          <w:color w:val="auto"/>
        </w:rPr>
        <w:t>比较法</w:t>
      </w:r>
      <w:r>
        <w:rPr>
          <w:rFonts w:hint="default" w:ascii="Times New Roman" w:hAnsi="Times New Roman" w:cs="Times New Roman"/>
          <w:color w:val="auto"/>
          <w:lang w:val="en-US" w:eastAsia="zh-CN"/>
        </w:rPr>
        <w:t>和</w:t>
      </w:r>
      <w:r>
        <w:rPr>
          <w:rFonts w:hint="default" w:ascii="Times New Roman" w:hAnsi="Times New Roman" w:cs="Times New Roman"/>
          <w:color w:val="auto"/>
        </w:rPr>
        <w:t>因素分析法</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项目是否按照《“福彩圆梦·孤儿助学工程”项目实施暂行办法》（民办发〔2019〕24号）规定，助学金按月或按季社会化发放。</w:t>
      </w:r>
    </w:p>
    <w:p w14:paraId="51422B45">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孤儿资助标准：</w:t>
      </w:r>
      <w:r>
        <w:rPr>
          <w:rFonts w:hint="default" w:ascii="Times New Roman" w:hAnsi="Times New Roman" w:cs="Times New Roman"/>
          <w:color w:val="auto"/>
        </w:rPr>
        <w:t>比较法和因素分析法，项目是否完成且执行数控制在</w:t>
      </w:r>
      <w:r>
        <w:rPr>
          <w:rFonts w:hint="default" w:ascii="Times New Roman" w:hAnsi="Times New Roman" w:cs="Times New Roman"/>
          <w:color w:val="auto"/>
          <w:lang w:val="en-US" w:eastAsia="zh-CN"/>
        </w:rPr>
        <w:t>资助标准</w:t>
      </w:r>
      <w:r>
        <w:rPr>
          <w:rFonts w:hint="default" w:ascii="Times New Roman" w:hAnsi="Times New Roman" w:cs="Times New Roman"/>
          <w:color w:val="auto"/>
        </w:rPr>
        <w:t>之内</w:t>
      </w:r>
      <w:r>
        <w:rPr>
          <w:rFonts w:hint="default" w:ascii="Times New Roman" w:hAnsi="Times New Roman" w:cs="Times New Roman"/>
          <w:color w:val="auto"/>
          <w:lang w:eastAsia="zh-CN"/>
        </w:rPr>
        <w:t>，</w:t>
      </w:r>
      <w:r>
        <w:rPr>
          <w:rFonts w:hint="default" w:ascii="Times New Roman" w:hAnsi="Times New Roman" w:cs="Times New Roman"/>
          <w:color w:val="auto"/>
        </w:rPr>
        <w:t>项目尚未完成，并分析实际完成值和预期指标值之间的差距和原因。</w:t>
      </w:r>
    </w:p>
    <w:p w14:paraId="30A1097A">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rPr>
      </w:pPr>
      <w:r>
        <w:rPr>
          <w:rFonts w:hint="default" w:ascii="Times New Roman" w:hAnsi="Times New Roman" w:cs="Times New Roman"/>
          <w:color w:val="auto"/>
        </w:rPr>
        <w:t>（4）项目效益类指标评价方法</w:t>
      </w:r>
    </w:p>
    <w:p w14:paraId="5CE2EE45">
      <w:pPr>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Times New Roman" w:hAnsi="Times New Roman" w:cs="Times New Roman" w:eastAsiaTheme="minorEastAsia"/>
          <w:color w:val="auto"/>
          <w:highlight w:val="none"/>
          <w:lang w:val="en-US" w:eastAsia="zh-CN"/>
        </w:rPr>
      </w:pPr>
      <w:r>
        <w:rPr>
          <w:rFonts w:hint="default" w:ascii="Times New Roman" w:hAnsi="Times New Roman" w:cs="Times New Roman"/>
          <w:color w:val="auto"/>
          <w:highlight w:val="none"/>
        </w:rPr>
        <w:t>孤儿学生完学率提升</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比较法</w:t>
      </w:r>
      <w:r>
        <w:rPr>
          <w:rFonts w:hint="default" w:ascii="Times New Roman" w:hAnsi="Times New Roman" w:cs="Times New Roman"/>
          <w:color w:val="auto"/>
          <w:highlight w:val="none"/>
        </w:rPr>
        <w:t>，通过问卷及抽样调查等方式</w:t>
      </w:r>
      <w:r>
        <w:rPr>
          <w:rFonts w:hint="default" w:ascii="Times New Roman" w:hAnsi="Times New Roman" w:cs="Times New Roman"/>
          <w:color w:val="auto"/>
          <w:highlight w:val="none"/>
          <w:lang w:eastAsia="zh-CN"/>
        </w:rPr>
        <w:t>考察助学金是否可以保障在校学年的学费情况</w:t>
      </w:r>
      <w:r>
        <w:rPr>
          <w:rFonts w:hint="eastAsia" w:cs="Times New Roman"/>
          <w:color w:val="auto"/>
          <w:highlight w:val="none"/>
          <w:lang w:eastAsia="zh-CN"/>
        </w:rPr>
        <w:t>。</w:t>
      </w:r>
    </w:p>
    <w:p w14:paraId="12734289">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color w:val="auto"/>
          <w:highlight w:val="none"/>
        </w:rPr>
        <w:t>孤儿教育水平提升情况</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公众评判法</w:t>
      </w:r>
      <w:r>
        <w:rPr>
          <w:rFonts w:hint="default" w:ascii="Times New Roman" w:hAnsi="Times New Roman" w:cs="Times New Roman"/>
          <w:color w:val="auto"/>
        </w:rPr>
        <w:t>，通过问卷及抽样调查等方式评价该项目实施后孤儿教育水平提升情况。</w:t>
      </w:r>
    </w:p>
    <w:p w14:paraId="21F3016B">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eastAsiaTheme="minorEastAsia"/>
          <w:color w:val="auto"/>
          <w:lang w:eastAsia="zh-CN"/>
        </w:rPr>
      </w:pPr>
      <w:r>
        <w:rPr>
          <w:rFonts w:hint="default" w:ascii="Times New Roman" w:hAnsi="Times New Roman" w:cs="Times New Roman"/>
          <w:color w:val="auto"/>
        </w:rPr>
        <w:t>受助孤儿满意度</w:t>
      </w:r>
      <w:r>
        <w:rPr>
          <w:rFonts w:hint="default" w:ascii="Times New Roman" w:hAnsi="Times New Roman" w:cs="Times New Roman"/>
          <w:color w:val="auto"/>
          <w:lang w:eastAsia="zh-CN"/>
        </w:rPr>
        <w:t>：</w:t>
      </w:r>
      <w:r>
        <w:rPr>
          <w:rFonts w:hint="default" w:ascii="Times New Roman" w:hAnsi="Times New Roman" w:cs="Times New Roman"/>
          <w:color w:val="auto"/>
        </w:rPr>
        <w:t>公众评判法，通过问卷及抽样调查等方式评价该项目实施后受助孤儿</w:t>
      </w:r>
      <w:r>
        <w:rPr>
          <w:rFonts w:hint="default" w:ascii="Times New Roman" w:hAnsi="Times New Roman" w:cs="Times New Roman"/>
          <w:color w:val="auto"/>
          <w:lang w:eastAsia="zh-CN"/>
        </w:rPr>
        <w:t>对</w:t>
      </w:r>
      <w:r>
        <w:rPr>
          <w:rFonts w:hint="default" w:ascii="Times New Roman" w:hAnsi="Times New Roman" w:cs="Times New Roman"/>
          <w:color w:val="auto"/>
        </w:rPr>
        <w:t>其实施效果的满意程度。</w:t>
      </w:r>
    </w:p>
    <w:p w14:paraId="1D30010B">
      <w:pPr>
        <w:pStyle w:val="5"/>
        <w:pageBreakBefore w:val="0"/>
        <w:widowControl w:val="0"/>
        <w:kinsoku/>
        <w:wordWrap/>
        <w:overflowPunct/>
        <w:topLinePunct w:val="0"/>
        <w:autoSpaceDE/>
        <w:autoSpaceDN/>
        <w:bidi w:val="0"/>
        <w:adjustRightInd w:val="0"/>
        <w:snapToGrid w:val="0"/>
        <w:spacing w:before="0" w:after="0" w:line="360" w:lineRule="auto"/>
        <w:ind w:firstLine="482"/>
        <w:textAlignment w:val="auto"/>
        <w:rPr>
          <w:rFonts w:hint="default" w:ascii="Times New Roman" w:hAnsi="Times New Roman" w:cs="Times New Roman"/>
          <w:color w:val="auto"/>
        </w:rPr>
      </w:pPr>
      <w:bookmarkStart w:id="54" w:name="_Toc17265"/>
      <w:r>
        <w:rPr>
          <w:rFonts w:hint="default" w:ascii="Times New Roman" w:hAnsi="Times New Roman" w:cs="Times New Roman"/>
          <w:color w:val="auto"/>
        </w:rPr>
        <w:t>（</w:t>
      </w:r>
      <w:r>
        <w:rPr>
          <w:rFonts w:hint="default" w:ascii="Times New Roman" w:hAnsi="Times New Roman" w:cs="Times New Roman"/>
          <w:color w:val="auto"/>
          <w:lang w:val="en-US" w:eastAsia="zh-CN"/>
        </w:rPr>
        <w:t>六</w:t>
      </w:r>
      <w:r>
        <w:rPr>
          <w:rFonts w:hint="default" w:ascii="Times New Roman" w:hAnsi="Times New Roman" w:cs="Times New Roman"/>
          <w:color w:val="auto"/>
        </w:rPr>
        <w:t>）绩效评价指标体系设计</w:t>
      </w:r>
      <w:bookmarkEnd w:id="54"/>
    </w:p>
    <w:p w14:paraId="0F25D058">
      <w:pPr>
        <w:pageBreakBefore w:val="0"/>
        <w:widowControl w:val="0"/>
        <w:kinsoku/>
        <w:wordWrap/>
        <w:overflowPunct/>
        <w:topLinePunct w:val="0"/>
        <w:autoSpaceDE/>
        <w:autoSpaceDN/>
        <w:bidi w:val="0"/>
        <w:adjustRightInd w:val="0"/>
        <w:snapToGrid w:val="0"/>
        <w:spacing w:line="360" w:lineRule="auto"/>
        <w:ind w:firstLine="0"/>
        <w:textAlignment w:val="auto"/>
        <w:rPr>
          <w:rFonts w:hint="default" w:ascii="Times New Roman" w:hAnsi="Times New Roman" w:cs="Times New Roman"/>
          <w:color w:val="auto"/>
        </w:rPr>
      </w:pPr>
      <w:bookmarkStart w:id="55" w:name="_Toc68364663"/>
      <w:r>
        <w:rPr>
          <w:rFonts w:hint="default" w:ascii="Times New Roman" w:hAnsi="Times New Roman" w:cs="Times New Roman"/>
          <w:color w:val="auto"/>
          <w:lang w:eastAsia="zh-CN"/>
        </w:rPr>
        <w:t>伊宁县</w:t>
      </w:r>
      <w:r>
        <w:rPr>
          <w:rFonts w:hint="default" w:ascii="Times New Roman" w:hAnsi="Times New Roman" w:cs="Times New Roman"/>
          <w:color w:val="auto"/>
        </w:rPr>
        <w:t>民政局“</w:t>
      </w:r>
      <w:r>
        <w:rPr>
          <w:rFonts w:hint="default" w:ascii="Times New Roman" w:hAnsi="Times New Roman" w:cs="Times New Roman"/>
          <w:color w:val="auto"/>
          <w:lang w:eastAsia="zh-CN"/>
        </w:rPr>
        <w:t>福彩圆梦</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lang w:eastAsia="zh-CN"/>
        </w:rPr>
        <w:t>孤儿助学工程</w:t>
      </w:r>
      <w:r>
        <w:rPr>
          <w:rFonts w:hint="default" w:ascii="Times New Roman" w:hAnsi="Times New Roman" w:cs="Times New Roman"/>
          <w:color w:val="auto"/>
        </w:rPr>
        <w:t>”</w:t>
      </w:r>
      <w:r>
        <w:rPr>
          <w:rFonts w:hint="default" w:ascii="Times New Roman" w:hAnsi="Times New Roman" w:cs="Times New Roman"/>
          <w:color w:val="auto"/>
          <w:lang w:val="en-US" w:eastAsia="zh-CN"/>
        </w:rPr>
        <w:t>项目</w:t>
      </w:r>
      <w:r>
        <w:rPr>
          <w:rFonts w:hint="default" w:ascii="Times New Roman" w:hAnsi="Times New Roman" w:cs="Times New Roman"/>
          <w:color w:val="auto"/>
          <w:highlight w:val="none"/>
          <w:lang w:val="zh-TW" w:eastAsia="zh-TW"/>
        </w:rPr>
        <w:t>财政支出绩效评价指标体系</w:t>
      </w:r>
      <w:r>
        <w:rPr>
          <w:rFonts w:hint="default" w:ascii="Times New Roman" w:hAnsi="Times New Roman" w:cs="Times New Roman"/>
          <w:color w:val="auto"/>
          <w:highlight w:val="none"/>
        </w:rPr>
        <w:t>参照</w:t>
      </w:r>
      <w:r>
        <w:rPr>
          <w:rFonts w:hint="default" w:ascii="Times New Roman" w:hAnsi="Times New Roman" w:cs="Times New Roman"/>
          <w:color w:val="auto"/>
          <w:highlight w:val="none"/>
          <w:lang w:val="zh-TW" w:eastAsia="zh-TW"/>
        </w:rPr>
        <w:t>《项目支出绩效评价管理办法》（财预〔2020〕10号）</w:t>
      </w:r>
      <w:r>
        <w:rPr>
          <w:rFonts w:hint="default" w:ascii="Times New Roman" w:hAnsi="Times New Roman" w:cs="Times New Roman"/>
          <w:color w:val="auto"/>
          <w:highlight w:val="none"/>
          <w:lang w:val="zh-TW"/>
        </w:rPr>
        <w:t>的</w:t>
      </w:r>
      <w:r>
        <w:rPr>
          <w:rFonts w:hint="default" w:ascii="Times New Roman" w:hAnsi="Times New Roman" w:cs="Times New Roman"/>
          <w:color w:val="auto"/>
          <w:highlight w:val="none"/>
        </w:rPr>
        <w:t>共性指标体系框架，结合</w:t>
      </w:r>
      <w:r>
        <w:rPr>
          <w:rFonts w:hint="default" w:ascii="Times New Roman" w:hAnsi="Times New Roman" w:cs="Times New Roman"/>
          <w:color w:val="auto"/>
          <w:highlight w:val="none"/>
          <w:lang w:eastAsia="zh-CN"/>
        </w:rPr>
        <w:t>《关于提前下达2024年中央专项彩票公益金支持地方社会公益事业发展（社会福利）资金预算的通知》（伊州财综〔2023〕36号）</w:t>
      </w:r>
      <w:r>
        <w:rPr>
          <w:rFonts w:hint="default" w:ascii="Times New Roman" w:hAnsi="Times New Roman" w:cs="Times New Roman"/>
          <w:color w:val="auto"/>
          <w:highlight w:val="none"/>
        </w:rPr>
        <w:t>后附区域目标表等要求，</w:t>
      </w:r>
      <w:r>
        <w:rPr>
          <w:rFonts w:hint="default" w:ascii="Times New Roman" w:hAnsi="Times New Roman" w:cs="Times New Roman"/>
          <w:color w:val="auto"/>
          <w:highlight w:val="none"/>
          <w:lang w:val="en-US" w:eastAsia="zh-CN"/>
        </w:rPr>
        <w:t>补助</w:t>
      </w:r>
      <w:r>
        <w:rPr>
          <w:rFonts w:hint="default" w:ascii="Times New Roman" w:hAnsi="Times New Roman" w:cs="Times New Roman"/>
          <w:color w:val="auto"/>
          <w:lang w:eastAsia="zh-CN"/>
        </w:rPr>
        <w:t>伊宁县民政局202</w:t>
      </w:r>
      <w:r>
        <w:rPr>
          <w:rFonts w:hint="default" w:ascii="Times New Roman" w:hAnsi="Times New Roman" w:cs="Times New Roman"/>
          <w:color w:val="auto"/>
          <w:lang w:val="en-US" w:eastAsia="zh-CN"/>
        </w:rPr>
        <w:t>4</w:t>
      </w:r>
      <w:r>
        <w:rPr>
          <w:rFonts w:hint="default" w:ascii="Times New Roman" w:hAnsi="Times New Roman" w:cs="Times New Roman"/>
          <w:color w:val="auto"/>
          <w:lang w:eastAsia="zh-CN"/>
        </w:rPr>
        <w:t>年共认定孤儿</w:t>
      </w:r>
      <w:r>
        <w:rPr>
          <w:rFonts w:hint="default" w:ascii="Times New Roman" w:hAnsi="Times New Roman" w:cs="Times New Roman"/>
          <w:color w:val="auto"/>
          <w:lang w:val="en-US" w:eastAsia="zh-CN"/>
        </w:rPr>
        <w:t>24</w:t>
      </w:r>
      <w:r>
        <w:rPr>
          <w:rFonts w:hint="default" w:ascii="Times New Roman" w:hAnsi="Times New Roman" w:cs="Times New Roman"/>
          <w:color w:val="auto"/>
          <w:lang w:eastAsia="zh-CN"/>
        </w:rPr>
        <w:t>名</w:t>
      </w:r>
      <w:r>
        <w:rPr>
          <w:rFonts w:hint="default" w:ascii="Times New Roman" w:hAnsi="Times New Roman" w:cs="Times New Roman"/>
          <w:color w:val="auto"/>
          <w:highlight w:val="none"/>
          <w:lang w:val="zh-TW" w:eastAsia="zh-TW"/>
        </w:rPr>
        <w:t>，</w:t>
      </w:r>
      <w:r>
        <w:rPr>
          <w:rFonts w:hint="default" w:ascii="Times New Roman" w:hAnsi="Times New Roman" w:cs="Times New Roman"/>
          <w:color w:val="auto"/>
          <w:highlight w:val="none"/>
        </w:rPr>
        <w:t>结合项目的实际情况，综合考虑相关性、重要性、可衡量性、可操作性和可实现性，整个评价框架构成体现从投入、过程到产出、效果和影响的绩效逻辑路径</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按照逻辑分析法设计本次绩效评价指标体系，主要围绕资金使用、项目管理等方面，客观分析项目的产出和效果</w:t>
      </w:r>
      <w:r>
        <w:rPr>
          <w:rFonts w:hint="default" w:ascii="Times New Roman" w:hAnsi="Times New Roman" w:cs="Times New Roman"/>
          <w:color w:val="auto"/>
          <w:highlight w:val="none"/>
          <w:lang w:eastAsia="zh-CN"/>
        </w:rPr>
        <w:t>。</w:t>
      </w:r>
      <w:r>
        <w:rPr>
          <w:rFonts w:hint="default" w:ascii="Times New Roman" w:hAnsi="Times New Roman" w:cs="Times New Roman"/>
          <w:color w:val="auto"/>
          <w:lang w:val="zh-TW" w:eastAsia="zh-TW"/>
        </w:rPr>
        <w:t>具体</w:t>
      </w:r>
      <w:r>
        <w:rPr>
          <w:rFonts w:hint="default" w:ascii="Times New Roman" w:hAnsi="Times New Roman" w:cs="Times New Roman"/>
          <w:color w:val="auto"/>
          <w:lang w:val="zh-TW" w:eastAsia="zh-CN"/>
        </w:rPr>
        <w:t>指标体系</w:t>
      </w:r>
      <w:r>
        <w:rPr>
          <w:rFonts w:hint="default" w:ascii="Times New Roman" w:hAnsi="Times New Roman" w:cs="Times New Roman"/>
          <w:color w:val="auto"/>
          <w:lang w:val="zh-TW" w:eastAsia="zh-TW"/>
        </w:rPr>
        <w:t>设置如下：</w:t>
      </w:r>
    </w:p>
    <w:p w14:paraId="4DCFA49A">
      <w:pPr>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该项目绩效</w:t>
      </w:r>
      <w:r>
        <w:rPr>
          <w:rFonts w:hint="default" w:ascii="Times New Roman" w:hAnsi="Times New Roman" w:cs="Times New Roman"/>
          <w:color w:val="auto"/>
          <w:lang w:val="zh-TW" w:eastAsia="zh-TW"/>
        </w:rPr>
        <w:t>指标体系</w:t>
      </w:r>
      <w:r>
        <w:rPr>
          <w:rFonts w:hint="default" w:ascii="Times New Roman" w:hAnsi="Times New Roman" w:cs="Times New Roman"/>
          <w:color w:val="auto"/>
          <w:lang w:val="en-US" w:eastAsia="zh-CN"/>
        </w:rPr>
        <w:t>共</w:t>
      </w:r>
      <w:r>
        <w:rPr>
          <w:rFonts w:hint="default" w:ascii="Times New Roman" w:hAnsi="Times New Roman" w:cs="Times New Roman"/>
          <w:color w:val="auto"/>
          <w:lang w:val="zh-TW" w:eastAsia="zh-TW"/>
        </w:rPr>
        <w:t>设置一级指标共</w:t>
      </w:r>
      <w:r>
        <w:rPr>
          <w:rFonts w:hint="default" w:ascii="Times New Roman" w:hAnsi="Times New Roman" w:cs="Times New Roman"/>
          <w:color w:val="auto"/>
          <w:lang w:val="en-US" w:eastAsia="zh-CN"/>
        </w:rPr>
        <w:t>4</w:t>
      </w:r>
      <w:r>
        <w:rPr>
          <w:rFonts w:hint="default" w:ascii="Times New Roman" w:hAnsi="Times New Roman" w:cs="Times New Roman"/>
          <w:color w:val="auto"/>
          <w:lang w:val="zh-TW" w:eastAsia="zh-TW"/>
        </w:rPr>
        <w:t>个，包括</w:t>
      </w:r>
      <w:r>
        <w:rPr>
          <w:rFonts w:hint="default" w:ascii="Times New Roman" w:hAnsi="Times New Roman" w:cs="Times New Roman"/>
          <w:color w:val="auto"/>
          <w:lang w:val="zh-TW" w:eastAsia="zh-CN"/>
        </w:rPr>
        <w:t>：</w:t>
      </w:r>
      <w:r>
        <w:rPr>
          <w:rFonts w:hint="default" w:ascii="Times New Roman" w:hAnsi="Times New Roman" w:cs="Times New Roman"/>
          <w:color w:val="auto"/>
          <w:lang w:val="zh-TW" w:eastAsia="zh-TW"/>
        </w:rPr>
        <w:t>决策指标（</w:t>
      </w:r>
      <w:r>
        <w:rPr>
          <w:rFonts w:hint="default" w:ascii="Times New Roman" w:hAnsi="Times New Roman" w:cs="Times New Roman"/>
          <w:color w:val="auto"/>
          <w:lang w:val="en-US"/>
        </w:rPr>
        <w:t>10.00</w:t>
      </w:r>
      <w:r>
        <w:rPr>
          <w:rFonts w:hint="default" w:ascii="Times New Roman" w:hAnsi="Times New Roman" w:cs="Times New Roman"/>
          <w:color w:val="auto"/>
          <w:lang w:val="zh-TW" w:eastAsia="zh-TW"/>
        </w:rPr>
        <w:t>%）、过程指标（</w:t>
      </w:r>
      <w:r>
        <w:rPr>
          <w:rFonts w:hint="default" w:ascii="Times New Roman" w:hAnsi="Times New Roman" w:cs="Times New Roman"/>
          <w:color w:val="auto"/>
        </w:rPr>
        <w:t>25.00</w:t>
      </w:r>
      <w:r>
        <w:rPr>
          <w:rFonts w:hint="default" w:ascii="Times New Roman" w:hAnsi="Times New Roman" w:cs="Times New Roman"/>
          <w:color w:val="auto"/>
          <w:lang w:val="zh-TW" w:eastAsia="zh-TW"/>
        </w:rPr>
        <w:t>%）、产出指标（</w:t>
      </w:r>
      <w:r>
        <w:rPr>
          <w:rFonts w:hint="default" w:ascii="Times New Roman" w:hAnsi="Times New Roman" w:cs="Times New Roman"/>
          <w:color w:val="auto"/>
        </w:rPr>
        <w:t>30.00</w:t>
      </w:r>
      <w:r>
        <w:rPr>
          <w:rFonts w:hint="default" w:ascii="Times New Roman" w:hAnsi="Times New Roman" w:cs="Times New Roman"/>
          <w:color w:val="auto"/>
          <w:lang w:val="zh-TW" w:eastAsia="zh-TW"/>
        </w:rPr>
        <w:t>%）、效益指标（</w:t>
      </w:r>
      <w:r>
        <w:rPr>
          <w:rFonts w:hint="default" w:ascii="Times New Roman" w:hAnsi="Times New Roman" w:cs="Times New Roman"/>
          <w:color w:val="auto"/>
        </w:rPr>
        <w:t>35.00</w:t>
      </w:r>
      <w:r>
        <w:rPr>
          <w:rFonts w:hint="default" w:ascii="Times New Roman" w:hAnsi="Times New Roman" w:cs="Times New Roman"/>
          <w:color w:val="auto"/>
          <w:lang w:val="zh-TW" w:eastAsia="zh-TW"/>
        </w:rPr>
        <w:t>%）四类指标</w:t>
      </w:r>
      <w:r>
        <w:rPr>
          <w:rFonts w:hint="default" w:ascii="Times New Roman" w:hAnsi="Times New Roman" w:cs="Times New Roman"/>
          <w:color w:val="auto"/>
          <w:lang w:val="zh-TW" w:eastAsia="zh-CN"/>
        </w:rPr>
        <w:t>，</w:t>
      </w:r>
      <w:r>
        <w:rPr>
          <w:rFonts w:hint="default" w:ascii="Times New Roman" w:hAnsi="Times New Roman" w:cs="Times New Roman"/>
          <w:color w:val="auto"/>
          <w:lang w:val="en-US" w:eastAsia="zh-CN"/>
        </w:rPr>
        <w:t>具体指标分类如下：</w:t>
      </w:r>
    </w:p>
    <w:p w14:paraId="36D3C3FC">
      <w:pPr>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cs="Times New Roman"/>
          <w:color w:val="auto"/>
          <w:lang w:eastAsia="zh-CN"/>
        </w:rPr>
      </w:pPr>
      <w:r>
        <w:rPr>
          <w:rFonts w:hint="default" w:ascii="Times New Roman" w:hAnsi="Times New Roman" w:cs="Times New Roman"/>
          <w:color w:val="auto"/>
          <w:lang w:val="en-US" w:eastAsia="zh-CN"/>
        </w:rPr>
        <w:t>决策指标</w:t>
      </w:r>
      <w:r>
        <w:rPr>
          <w:rFonts w:hint="default" w:ascii="Times New Roman" w:hAnsi="Times New Roman" w:cs="Times New Roman"/>
          <w:color w:val="auto"/>
          <w:lang w:eastAsia="zh-CN"/>
        </w:rPr>
        <w:t>：</w:t>
      </w:r>
      <w:r>
        <w:rPr>
          <w:rFonts w:hint="default" w:ascii="Times New Roman" w:hAnsi="Times New Roman" w:cs="Times New Roman"/>
          <w:color w:val="auto"/>
        </w:rPr>
        <w:t>A11立项依据充分性、A12立项程序规范性、A21绩效目标合理性、A22绩效指标明确性、A31预算编制科学性、A32资金分配合理性</w:t>
      </w:r>
      <w:r>
        <w:rPr>
          <w:rFonts w:hint="default" w:ascii="Times New Roman" w:hAnsi="Times New Roman" w:cs="Times New Roman"/>
          <w:color w:val="auto"/>
          <w:lang w:eastAsia="zh-CN"/>
        </w:rPr>
        <w:t>。</w:t>
      </w:r>
    </w:p>
    <w:p w14:paraId="747260DD">
      <w:pPr>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cs="Times New Roman"/>
          <w:color w:val="auto"/>
          <w:lang w:eastAsia="zh-CN"/>
        </w:rPr>
      </w:pPr>
      <w:r>
        <w:rPr>
          <w:rFonts w:hint="default" w:ascii="Times New Roman" w:hAnsi="Times New Roman" w:cs="Times New Roman"/>
          <w:color w:val="auto"/>
          <w:lang w:val="en-US" w:eastAsia="zh-CN"/>
        </w:rPr>
        <w:t>过程指标：</w:t>
      </w:r>
      <w:r>
        <w:rPr>
          <w:rFonts w:hint="default" w:ascii="Times New Roman" w:hAnsi="Times New Roman" w:cs="Times New Roman"/>
          <w:color w:val="auto"/>
        </w:rPr>
        <w:t>B11资金到位率、B12预算执行率、B13资金使用合规性、B21管理制度健全性、B22制度执行有效性</w:t>
      </w:r>
      <w:r>
        <w:rPr>
          <w:rFonts w:hint="default" w:ascii="Times New Roman" w:hAnsi="Times New Roman" w:cs="Times New Roman"/>
          <w:color w:val="auto"/>
          <w:lang w:eastAsia="zh-CN"/>
        </w:rPr>
        <w:t>。</w:t>
      </w:r>
    </w:p>
    <w:p w14:paraId="22BB20F7">
      <w:pPr>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cs="Times New Roman"/>
          <w:color w:val="auto"/>
          <w:lang w:eastAsia="zh-CN"/>
        </w:rPr>
      </w:pPr>
      <w:r>
        <w:rPr>
          <w:rFonts w:hint="default" w:ascii="Times New Roman" w:hAnsi="Times New Roman" w:cs="Times New Roman"/>
          <w:color w:val="auto"/>
        </w:rPr>
        <w:t>产出指标</w:t>
      </w:r>
      <w:r>
        <w:rPr>
          <w:rFonts w:hint="default" w:ascii="Times New Roman" w:hAnsi="Times New Roman" w:cs="Times New Roman"/>
          <w:color w:val="auto"/>
          <w:lang w:eastAsia="zh-CN"/>
        </w:rPr>
        <w:t>：C11受助孤儿人数、C</w:t>
      </w:r>
      <w:r>
        <w:rPr>
          <w:rFonts w:hint="default" w:ascii="Times New Roman" w:hAnsi="Times New Roman" w:cs="Times New Roman"/>
          <w:color w:val="auto"/>
          <w:lang w:val="en-US" w:eastAsia="zh-CN"/>
        </w:rPr>
        <w:t>21</w:t>
      </w:r>
      <w:r>
        <w:rPr>
          <w:rFonts w:hint="default" w:ascii="Times New Roman" w:hAnsi="Times New Roman" w:cs="Times New Roman"/>
          <w:color w:val="auto"/>
          <w:lang w:eastAsia="zh-CN"/>
        </w:rPr>
        <w:t>资助对象符合性、C</w:t>
      </w:r>
      <w:r>
        <w:rPr>
          <w:rFonts w:hint="default" w:ascii="Times New Roman" w:hAnsi="Times New Roman" w:cs="Times New Roman"/>
          <w:color w:val="auto"/>
          <w:lang w:val="en-US" w:eastAsia="zh-CN"/>
        </w:rPr>
        <w:t>31</w:t>
      </w:r>
      <w:r>
        <w:rPr>
          <w:rFonts w:hint="default" w:ascii="Times New Roman" w:hAnsi="Times New Roman" w:cs="Times New Roman"/>
          <w:color w:val="auto"/>
          <w:lang w:eastAsia="zh-CN"/>
        </w:rPr>
        <w:t>助学金发放及时率、C</w:t>
      </w:r>
      <w:r>
        <w:rPr>
          <w:rFonts w:hint="default" w:ascii="Times New Roman" w:hAnsi="Times New Roman" w:cs="Times New Roman"/>
          <w:color w:val="auto"/>
          <w:lang w:val="en-US" w:eastAsia="zh-CN"/>
        </w:rPr>
        <w:t>41</w:t>
      </w:r>
      <w:r>
        <w:rPr>
          <w:rFonts w:hint="default" w:ascii="Times New Roman" w:hAnsi="Times New Roman" w:cs="Times New Roman"/>
          <w:color w:val="auto"/>
          <w:lang w:eastAsia="zh-CN"/>
        </w:rPr>
        <w:t>孤儿资助标准。</w:t>
      </w:r>
    </w:p>
    <w:p w14:paraId="3935082F">
      <w:pPr>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cs="Times New Roman" w:eastAsiaTheme="minorEastAsia"/>
          <w:color w:val="auto"/>
          <w:lang w:eastAsia="zh-CN"/>
        </w:rPr>
      </w:pPr>
      <w:r>
        <w:rPr>
          <w:rFonts w:hint="default" w:ascii="Times New Roman" w:hAnsi="Times New Roman" w:cs="Times New Roman"/>
          <w:b w:val="0"/>
          <w:bCs w:val="0"/>
          <w:color w:val="auto"/>
          <w:lang w:val="en-US" w:eastAsia="zh-CN"/>
        </w:rPr>
        <w:t>效益指标：</w:t>
      </w:r>
      <w:r>
        <w:rPr>
          <w:rFonts w:hint="default" w:ascii="Times New Roman" w:hAnsi="Times New Roman" w:cs="Times New Roman"/>
          <w:color w:val="auto"/>
          <w:lang w:eastAsia="zh-CN"/>
        </w:rPr>
        <w:t>D11孤儿学生完学率提升、D12孤儿教育水平提升情况、D21受助孤儿满意度。</w:t>
      </w:r>
    </w:p>
    <w:p w14:paraId="4325EEB3">
      <w:pPr>
        <w:pStyle w:val="5"/>
        <w:pageBreakBefore w:val="0"/>
        <w:widowControl w:val="0"/>
        <w:kinsoku/>
        <w:wordWrap/>
        <w:overflowPunct/>
        <w:topLinePunct w:val="0"/>
        <w:autoSpaceDE/>
        <w:autoSpaceDN/>
        <w:bidi w:val="0"/>
        <w:adjustRightInd w:val="0"/>
        <w:snapToGrid w:val="0"/>
        <w:spacing w:before="0" w:after="0" w:line="360" w:lineRule="auto"/>
        <w:ind w:firstLine="482"/>
        <w:textAlignment w:val="auto"/>
        <w:rPr>
          <w:rFonts w:hint="default" w:ascii="Times New Roman" w:hAnsi="Times New Roman" w:cs="Times New Roman"/>
          <w:color w:val="auto"/>
          <w:lang w:val="en-US" w:eastAsia="zh-CN"/>
        </w:rPr>
      </w:pPr>
      <w:bookmarkStart w:id="56" w:name="_Toc25044"/>
      <w:r>
        <w:rPr>
          <w:rFonts w:hint="default" w:ascii="Times New Roman" w:hAnsi="Times New Roman" w:cs="Times New Roman"/>
          <w:color w:val="auto"/>
          <w:lang w:val="en-US" w:eastAsia="zh-CN"/>
        </w:rPr>
        <w:t>（七）绩效评价工作过程</w:t>
      </w:r>
      <w:bookmarkEnd w:id="55"/>
      <w:bookmarkEnd w:id="56"/>
    </w:p>
    <w:p w14:paraId="0C3BB2B3">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cs="Times New Roman"/>
          <w:color w:val="auto"/>
        </w:rPr>
      </w:pPr>
      <w:r>
        <w:rPr>
          <w:rFonts w:hint="default" w:ascii="Times New Roman" w:hAnsi="Times New Roman" w:cs="Times New Roman"/>
          <w:color w:val="auto"/>
        </w:rPr>
        <w:t>我们接受委托，按规定开展了前期准备、制定绩效评价工作方案、组织实施、报告撰写等绩效评价工作程序。绩效评价从</w:t>
      </w:r>
      <w:r>
        <w:rPr>
          <w:rFonts w:hint="default" w:ascii="Times New Roman" w:hAnsi="Times New Roman" w:cs="Times New Roman"/>
          <w:color w:val="auto"/>
          <w:lang w:val="en-US" w:eastAsia="zh-CN"/>
        </w:rPr>
        <w:t>2025</w:t>
      </w:r>
      <w:r>
        <w:rPr>
          <w:rFonts w:hint="default" w:ascii="Times New Roman" w:hAnsi="Times New Roman" w:cs="Times New Roman"/>
          <w:color w:val="auto"/>
        </w:rPr>
        <w:t>年</w:t>
      </w:r>
      <w:r>
        <w:rPr>
          <w:rFonts w:hint="eastAsia" w:cs="Times New Roman"/>
          <w:color w:val="auto"/>
          <w:lang w:val="en-US" w:eastAsia="zh-CN"/>
        </w:rPr>
        <w:t>7</w:t>
      </w:r>
      <w:r>
        <w:rPr>
          <w:rFonts w:hint="default" w:ascii="Times New Roman" w:hAnsi="Times New Roman" w:cs="Times New Roman"/>
          <w:color w:val="auto"/>
        </w:rPr>
        <w:t>月</w:t>
      </w:r>
      <w:r>
        <w:rPr>
          <w:rFonts w:hint="eastAsia" w:cs="Times New Roman"/>
          <w:color w:val="auto"/>
          <w:lang w:val="en-US" w:eastAsia="zh-CN"/>
        </w:rPr>
        <w:t>1</w:t>
      </w:r>
      <w:r>
        <w:rPr>
          <w:rFonts w:hint="default" w:ascii="Times New Roman" w:hAnsi="Times New Roman" w:cs="Times New Roman"/>
          <w:color w:val="auto"/>
        </w:rPr>
        <w:t>日启动，在各方有效配合下，评价工作于</w:t>
      </w:r>
      <w:r>
        <w:rPr>
          <w:rFonts w:hint="default" w:ascii="Times New Roman" w:hAnsi="Times New Roman" w:cs="Times New Roman"/>
          <w:color w:val="auto"/>
          <w:lang w:val="en-US" w:eastAsia="zh-CN"/>
        </w:rPr>
        <w:t>2025</w:t>
      </w:r>
      <w:r>
        <w:rPr>
          <w:rFonts w:hint="default" w:ascii="Times New Roman" w:hAnsi="Times New Roman" w:cs="Times New Roman"/>
          <w:color w:val="auto"/>
        </w:rPr>
        <w:t>年</w:t>
      </w:r>
      <w:r>
        <w:rPr>
          <w:rFonts w:hint="default" w:ascii="Times New Roman" w:hAnsi="Times New Roman" w:cs="Times New Roman"/>
          <w:color w:val="auto"/>
          <w:lang w:val="en-US" w:eastAsia="zh-CN"/>
        </w:rPr>
        <w:t>7</w:t>
      </w:r>
      <w:r>
        <w:rPr>
          <w:rFonts w:hint="default" w:ascii="Times New Roman" w:hAnsi="Times New Roman" w:cs="Times New Roman"/>
          <w:color w:val="auto"/>
        </w:rPr>
        <w:t>月</w:t>
      </w:r>
      <w:r>
        <w:rPr>
          <w:rFonts w:hint="default" w:ascii="Times New Roman" w:hAnsi="Times New Roman" w:cs="Times New Roman"/>
          <w:color w:val="auto"/>
          <w:lang w:val="en-US" w:eastAsia="zh-CN"/>
        </w:rPr>
        <w:t>30</w:t>
      </w:r>
      <w:r>
        <w:rPr>
          <w:rFonts w:hint="default" w:ascii="Times New Roman" w:hAnsi="Times New Roman" w:cs="Times New Roman"/>
          <w:color w:val="auto"/>
        </w:rPr>
        <w:t>日前完成。主要实施过程如下：</w:t>
      </w:r>
    </w:p>
    <w:p w14:paraId="70F667DA">
      <w:pPr>
        <w:pStyle w:val="6"/>
        <w:pageBreakBefore w:val="0"/>
        <w:widowControl w:val="0"/>
        <w:kinsoku/>
        <w:wordWrap/>
        <w:overflowPunct/>
        <w:topLinePunct w:val="0"/>
        <w:autoSpaceDE/>
        <w:autoSpaceDN/>
        <w:bidi w:val="0"/>
        <w:adjustRightInd w:val="0"/>
        <w:snapToGrid w:val="0"/>
        <w:spacing w:line="360" w:lineRule="auto"/>
        <w:ind w:firstLine="641"/>
        <w:textAlignment w:val="auto"/>
        <w:rPr>
          <w:rFonts w:hint="default" w:ascii="Times New Roman" w:hAnsi="Times New Roman" w:cs="Times New Roman" w:eastAsiaTheme="minorEastAsia"/>
          <w:color w:val="auto"/>
        </w:rPr>
      </w:pPr>
      <w:r>
        <w:rPr>
          <w:rFonts w:hint="default" w:ascii="Times New Roman" w:hAnsi="Times New Roman" w:cs="Times New Roman"/>
          <w:color w:val="auto"/>
        </w:rPr>
        <w:t>1.前期准备</w:t>
      </w:r>
    </w:p>
    <w:p w14:paraId="67F47483">
      <w:pPr>
        <w:pageBreakBefore w:val="0"/>
        <w:widowControl w:val="0"/>
        <w:kinsoku/>
        <w:wordWrap/>
        <w:overflowPunct/>
        <w:topLinePunct w:val="0"/>
        <w:autoSpaceDE/>
        <w:autoSpaceDN/>
        <w:bidi w:val="0"/>
        <w:adjustRightInd w:val="0"/>
        <w:snapToGrid w:val="0"/>
        <w:spacing w:line="360" w:lineRule="auto"/>
        <w:ind w:firstLine="640"/>
        <w:textAlignment w:val="auto"/>
        <w:rPr>
          <w:rFonts w:hint="default" w:ascii="Times New Roman" w:hAnsi="Times New Roman" w:cs="Times New Roman"/>
          <w:b/>
          <w:bCs w:val="0"/>
          <w:color w:val="auto"/>
        </w:rPr>
      </w:pPr>
      <w:r>
        <w:rPr>
          <w:rFonts w:hint="default" w:ascii="Times New Roman" w:hAnsi="Times New Roman" w:cs="Times New Roman"/>
          <w:bCs/>
          <w:color w:val="auto"/>
          <w:lang w:eastAsia="zh-CN"/>
        </w:rPr>
        <w:t>（</w:t>
      </w:r>
      <w:r>
        <w:rPr>
          <w:rFonts w:hint="default" w:ascii="Times New Roman" w:hAnsi="Times New Roman" w:cs="Times New Roman"/>
          <w:bCs/>
          <w:color w:val="auto"/>
          <w:lang w:val="en-US" w:eastAsia="zh-CN"/>
        </w:rPr>
        <w:t>1</w:t>
      </w:r>
      <w:r>
        <w:rPr>
          <w:rFonts w:hint="default" w:ascii="Times New Roman" w:hAnsi="Times New Roman" w:cs="Times New Roman"/>
          <w:bCs/>
          <w:color w:val="auto"/>
          <w:lang w:eastAsia="zh-CN"/>
        </w:rPr>
        <w:t>）</w:t>
      </w:r>
      <w:r>
        <w:rPr>
          <w:rFonts w:hint="default" w:ascii="Times New Roman" w:hAnsi="Times New Roman" w:cs="Times New Roman"/>
          <w:color w:val="auto"/>
          <w:highlight w:val="none"/>
        </w:rPr>
        <w:t>根据该项目的基本情况，我单位组织人员收集绩效评价所需资料，经调研分析确定绩效评价目的、评价对象和范围、评价期限</w:t>
      </w:r>
      <w:r>
        <w:rPr>
          <w:rFonts w:hint="eastAsia" w:cs="Times New Roman"/>
          <w:color w:val="auto"/>
          <w:highlight w:val="none"/>
          <w:lang w:val="en-US" w:eastAsia="zh-CN"/>
        </w:rPr>
        <w:t>等</w:t>
      </w:r>
      <w:r>
        <w:rPr>
          <w:rFonts w:hint="default" w:ascii="Times New Roman" w:hAnsi="Times New Roman" w:cs="Times New Roman"/>
          <w:color w:val="auto"/>
          <w:highlight w:val="none"/>
        </w:rPr>
        <w:t>。</w:t>
      </w:r>
    </w:p>
    <w:p w14:paraId="2A98D964">
      <w:pPr>
        <w:pageBreakBefore w:val="0"/>
        <w:widowControl w:val="0"/>
        <w:kinsoku/>
        <w:wordWrap/>
        <w:overflowPunct/>
        <w:topLinePunct w:val="0"/>
        <w:autoSpaceDE/>
        <w:autoSpaceDN/>
        <w:bidi w:val="0"/>
        <w:adjustRightInd w:val="0"/>
        <w:snapToGrid w:val="0"/>
        <w:spacing w:line="360" w:lineRule="auto"/>
        <w:ind w:firstLine="640"/>
        <w:textAlignment w:val="auto"/>
        <w:rPr>
          <w:rFonts w:hint="default" w:ascii="Times New Roman" w:hAnsi="Times New Roman" w:cs="Times New Roman"/>
          <w:color w:val="auto"/>
        </w:rPr>
      </w:pP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2</w:t>
      </w:r>
      <w:r>
        <w:rPr>
          <w:rFonts w:hint="default" w:ascii="Times New Roman" w:hAnsi="Times New Roman" w:cs="Times New Roman"/>
          <w:color w:val="auto"/>
          <w:lang w:eastAsia="zh-CN"/>
        </w:rPr>
        <w:t>）</w:t>
      </w:r>
      <w:r>
        <w:rPr>
          <w:rFonts w:hint="default" w:ascii="Times New Roman" w:hAnsi="Times New Roman" w:cs="Times New Roman"/>
          <w:color w:val="auto"/>
        </w:rPr>
        <w:t>成立绩效评价小组。</w:t>
      </w:r>
      <w:r>
        <w:rPr>
          <w:rFonts w:hint="default" w:ascii="Times New Roman" w:hAnsi="Times New Roman" w:cs="Times New Roman"/>
          <w:color w:val="auto"/>
          <w:lang w:val="en-US" w:eastAsia="zh-CN"/>
        </w:rPr>
        <w:t>绩效评价小组</w:t>
      </w:r>
      <w:r>
        <w:rPr>
          <w:rFonts w:hint="default" w:ascii="Times New Roman" w:hAnsi="Times New Roman" w:cs="Times New Roman"/>
          <w:color w:val="auto"/>
        </w:rPr>
        <w:t>实行组长负责制，项目总负责人统筹全盘工作，</w:t>
      </w:r>
      <w:r>
        <w:rPr>
          <w:rFonts w:hint="default" w:ascii="Times New Roman" w:hAnsi="Times New Roman" w:cs="Times New Roman"/>
          <w:b w:val="0"/>
          <w:bCs w:val="0"/>
          <w:color w:val="auto"/>
        </w:rPr>
        <w:t>对</w:t>
      </w:r>
      <w:r>
        <w:rPr>
          <w:rFonts w:hint="default" w:ascii="Times New Roman" w:hAnsi="Times New Roman" w:cs="Times New Roman"/>
          <w:b w:val="0"/>
          <w:bCs w:val="0"/>
          <w:color w:val="auto"/>
          <w:lang w:val="en-US" w:eastAsia="zh-CN"/>
        </w:rPr>
        <w:t>绩效评价</w:t>
      </w:r>
      <w:r>
        <w:rPr>
          <w:rFonts w:hint="default" w:ascii="Times New Roman" w:hAnsi="Times New Roman" w:cs="Times New Roman"/>
          <w:b w:val="0"/>
          <w:bCs w:val="0"/>
          <w:color w:val="auto"/>
        </w:rPr>
        <w:t>工作提供技术指导与支持，</w:t>
      </w:r>
      <w:r>
        <w:rPr>
          <w:rFonts w:hint="eastAsia" w:cs="Times New Roman"/>
          <w:b w:val="0"/>
          <w:bCs w:val="0"/>
          <w:color w:val="auto"/>
          <w:lang w:val="en-US" w:eastAsia="zh-CN"/>
        </w:rPr>
        <w:t>报告稽核人</w:t>
      </w:r>
      <w:r>
        <w:rPr>
          <w:rFonts w:hint="default" w:ascii="Times New Roman" w:hAnsi="Times New Roman" w:cs="Times New Roman"/>
          <w:b w:val="0"/>
          <w:bCs w:val="0"/>
          <w:color w:val="auto"/>
        </w:rPr>
        <w:t>对评价工作质量把关，并负责报告数据审核验收、报告撰写指导、报告验收等技术工作；绩效评价组成员计划安排</w:t>
      </w:r>
      <w:r>
        <w:rPr>
          <w:rFonts w:hint="default" w:ascii="Times New Roman" w:hAnsi="Times New Roman" w:cs="Times New Roman"/>
          <w:b w:val="0"/>
          <w:bCs w:val="0"/>
          <w:color w:val="auto"/>
          <w:lang w:val="en-US" w:eastAsia="zh-CN"/>
        </w:rPr>
        <w:t>2</w:t>
      </w:r>
      <w:r>
        <w:rPr>
          <w:rFonts w:hint="default" w:ascii="Times New Roman" w:hAnsi="Times New Roman" w:cs="Times New Roman"/>
          <w:b w:val="0"/>
          <w:bCs w:val="0"/>
          <w:color w:val="auto"/>
        </w:rPr>
        <w:t>人，完成现场调研、资料收集和检</w:t>
      </w:r>
      <w:r>
        <w:rPr>
          <w:rFonts w:hint="default" w:ascii="Times New Roman" w:hAnsi="Times New Roman" w:cs="Times New Roman"/>
          <w:color w:val="auto"/>
        </w:rPr>
        <w:t>查、项目相关人员访谈、问题清单整理、数据整理、撰写报告等工作</w:t>
      </w:r>
      <w:r>
        <w:rPr>
          <w:rFonts w:hint="default" w:ascii="Times New Roman" w:hAnsi="Times New Roman" w:cs="Times New Roman"/>
          <w:color w:val="auto"/>
          <w:lang w:eastAsia="zh-CN"/>
        </w:rPr>
        <w:t>，</w:t>
      </w:r>
      <w:r>
        <w:rPr>
          <w:rFonts w:hint="default" w:ascii="Times New Roman" w:hAnsi="Times New Roman" w:cs="Times New Roman"/>
          <w:color w:val="auto"/>
        </w:rPr>
        <w:t>具体成员及职责分工如下：</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557"/>
        <w:gridCol w:w="881"/>
        <w:gridCol w:w="1356"/>
        <w:gridCol w:w="1616"/>
        <w:gridCol w:w="3926"/>
      </w:tblGrid>
      <w:tr w14:paraId="11630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Header/>
          <w:jc w:val="center"/>
        </w:trPr>
        <w:tc>
          <w:tcPr>
            <w:tcW w:w="334" w:type="pct"/>
            <w:noWrap w:val="0"/>
            <w:vAlign w:val="center"/>
          </w:tcPr>
          <w:p w14:paraId="28A26EA5">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b/>
                <w:color w:val="auto"/>
                <w:sz w:val="21"/>
                <w:szCs w:val="21"/>
                <w:highlight w:val="none"/>
                <w:lang w:eastAsia="en-US"/>
              </w:rPr>
            </w:pPr>
            <w:r>
              <w:rPr>
                <w:rFonts w:hint="default" w:ascii="Times New Roman" w:hAnsi="Times New Roman" w:cs="Times New Roman" w:eastAsiaTheme="minorEastAsia"/>
                <w:b/>
                <w:color w:val="auto"/>
                <w:kern w:val="0"/>
                <w:sz w:val="21"/>
                <w:szCs w:val="21"/>
                <w:highlight w:val="none"/>
                <w:lang w:bidi="ar"/>
              </w:rPr>
              <w:t>序号</w:t>
            </w:r>
          </w:p>
        </w:tc>
        <w:tc>
          <w:tcPr>
            <w:tcW w:w="528" w:type="pct"/>
            <w:noWrap w:val="0"/>
            <w:vAlign w:val="center"/>
          </w:tcPr>
          <w:p w14:paraId="7C19045F">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b/>
                <w:color w:val="auto"/>
                <w:sz w:val="21"/>
                <w:szCs w:val="21"/>
                <w:highlight w:val="none"/>
                <w:lang w:eastAsia="en-US"/>
              </w:rPr>
            </w:pPr>
            <w:r>
              <w:rPr>
                <w:rFonts w:hint="default" w:ascii="Times New Roman" w:hAnsi="Times New Roman" w:cs="Times New Roman" w:eastAsiaTheme="minorEastAsia"/>
                <w:b/>
                <w:color w:val="auto"/>
                <w:kern w:val="0"/>
                <w:sz w:val="21"/>
                <w:szCs w:val="21"/>
                <w:highlight w:val="none"/>
                <w:lang w:bidi="ar"/>
              </w:rPr>
              <w:t>姓名</w:t>
            </w:r>
          </w:p>
        </w:tc>
        <w:tc>
          <w:tcPr>
            <w:tcW w:w="813" w:type="pct"/>
            <w:noWrap w:val="0"/>
            <w:vAlign w:val="center"/>
          </w:tcPr>
          <w:p w14:paraId="5FD5C018">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b/>
                <w:color w:val="auto"/>
                <w:sz w:val="21"/>
                <w:szCs w:val="21"/>
                <w:highlight w:val="none"/>
              </w:rPr>
            </w:pPr>
            <w:r>
              <w:rPr>
                <w:rFonts w:hint="default" w:ascii="Times New Roman" w:hAnsi="Times New Roman" w:cs="Times New Roman" w:eastAsiaTheme="minorEastAsia"/>
                <w:b/>
                <w:color w:val="auto"/>
                <w:sz w:val="21"/>
                <w:szCs w:val="21"/>
                <w:highlight w:val="none"/>
              </w:rPr>
              <w:t>项目角色</w:t>
            </w:r>
          </w:p>
        </w:tc>
        <w:tc>
          <w:tcPr>
            <w:tcW w:w="969" w:type="pct"/>
            <w:noWrap w:val="0"/>
            <w:vAlign w:val="center"/>
          </w:tcPr>
          <w:p w14:paraId="5D684798">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b/>
                <w:color w:val="auto"/>
                <w:sz w:val="21"/>
                <w:szCs w:val="21"/>
                <w:highlight w:val="none"/>
                <w:lang w:eastAsia="en-US"/>
              </w:rPr>
            </w:pPr>
            <w:r>
              <w:rPr>
                <w:rFonts w:hint="default" w:ascii="Times New Roman" w:hAnsi="Times New Roman" w:cs="Times New Roman" w:eastAsiaTheme="minorEastAsia"/>
                <w:b/>
                <w:color w:val="auto"/>
                <w:kern w:val="0"/>
                <w:sz w:val="21"/>
                <w:szCs w:val="21"/>
                <w:highlight w:val="none"/>
                <w:lang w:bidi="ar"/>
              </w:rPr>
              <w:t>资质或公司职位</w:t>
            </w:r>
          </w:p>
        </w:tc>
        <w:tc>
          <w:tcPr>
            <w:tcW w:w="2354" w:type="pct"/>
            <w:noWrap w:val="0"/>
            <w:vAlign w:val="center"/>
          </w:tcPr>
          <w:p w14:paraId="689BABDB">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b/>
                <w:color w:val="auto"/>
                <w:kern w:val="0"/>
                <w:sz w:val="21"/>
                <w:szCs w:val="21"/>
                <w:highlight w:val="none"/>
                <w:lang w:bidi="ar"/>
              </w:rPr>
            </w:pPr>
            <w:r>
              <w:rPr>
                <w:rFonts w:hint="default" w:ascii="Times New Roman" w:hAnsi="Times New Roman" w:cs="Times New Roman" w:eastAsiaTheme="minorEastAsia"/>
                <w:b/>
                <w:color w:val="auto"/>
                <w:kern w:val="0"/>
                <w:sz w:val="21"/>
                <w:szCs w:val="21"/>
                <w:highlight w:val="none"/>
                <w:lang w:bidi="ar"/>
              </w:rPr>
              <w:t>主要职责</w:t>
            </w:r>
          </w:p>
        </w:tc>
      </w:tr>
      <w:tr w14:paraId="02098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505" w:hRule="atLeast"/>
          <w:jc w:val="center"/>
        </w:trPr>
        <w:tc>
          <w:tcPr>
            <w:tcW w:w="334" w:type="pct"/>
            <w:noWrap w:val="0"/>
            <w:vAlign w:val="center"/>
          </w:tcPr>
          <w:p w14:paraId="014193E4">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kern w:val="0"/>
                <w:sz w:val="21"/>
                <w:szCs w:val="21"/>
                <w:highlight w:val="none"/>
                <w:lang w:bidi="ar"/>
              </w:rPr>
              <w:t>1</w:t>
            </w:r>
          </w:p>
        </w:tc>
        <w:tc>
          <w:tcPr>
            <w:tcW w:w="528" w:type="pct"/>
            <w:noWrap w:val="0"/>
            <w:vAlign w:val="center"/>
          </w:tcPr>
          <w:p w14:paraId="0CCDD45D">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bCs/>
                <w:color w:val="auto"/>
                <w:kern w:val="0"/>
                <w:sz w:val="21"/>
                <w:szCs w:val="21"/>
                <w:highlight w:val="none"/>
                <w:lang w:bidi="ar"/>
              </w:rPr>
            </w:pPr>
            <w:r>
              <w:rPr>
                <w:rFonts w:hint="default" w:ascii="Times New Roman" w:hAnsi="Times New Roman" w:cs="Times New Roman" w:eastAsiaTheme="minorEastAsia"/>
                <w:color w:val="auto"/>
                <w:kern w:val="0"/>
                <w:sz w:val="21"/>
                <w:szCs w:val="21"/>
                <w:highlight w:val="none"/>
                <w:lang w:bidi="ar"/>
              </w:rPr>
              <w:t>冯延萍</w:t>
            </w:r>
          </w:p>
        </w:tc>
        <w:tc>
          <w:tcPr>
            <w:tcW w:w="813" w:type="pct"/>
            <w:noWrap w:val="0"/>
            <w:vAlign w:val="center"/>
          </w:tcPr>
          <w:p w14:paraId="028696EC">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主评人</w:t>
            </w:r>
          </w:p>
        </w:tc>
        <w:tc>
          <w:tcPr>
            <w:tcW w:w="969" w:type="pct"/>
            <w:noWrap w:val="0"/>
            <w:vAlign w:val="center"/>
          </w:tcPr>
          <w:p w14:paraId="3CF96436">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注册会计师、中级会计师</w:t>
            </w:r>
          </w:p>
        </w:tc>
        <w:tc>
          <w:tcPr>
            <w:tcW w:w="2354" w:type="pct"/>
            <w:noWrap w:val="0"/>
            <w:vAlign w:val="center"/>
          </w:tcPr>
          <w:p w14:paraId="59BB9251">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default" w:ascii="Times New Roman" w:hAnsi="Times New Roman" w:cs="Times New Roman" w:eastAsiaTheme="minorEastAsia"/>
                <w:color w:val="auto"/>
                <w:kern w:val="0"/>
                <w:sz w:val="21"/>
                <w:szCs w:val="21"/>
                <w:highlight w:val="none"/>
                <w:lang w:bidi="ar"/>
              </w:rPr>
            </w:pPr>
            <w:r>
              <w:rPr>
                <w:rFonts w:hint="default" w:ascii="Times New Roman" w:hAnsi="Times New Roman" w:cs="Times New Roman" w:eastAsiaTheme="minorEastAsia"/>
                <w:bCs/>
                <w:snapToGrid w:val="0"/>
                <w:color w:val="auto"/>
                <w:sz w:val="21"/>
                <w:szCs w:val="21"/>
                <w:highlight w:val="none"/>
              </w:rPr>
              <w:t>负责项目总体计划的审批，项目重大风险的整体把握，对整体检查工作进行全面技术把关和指导，以保证评价工作按时按质完成；对整体项目评价结论进行最终复核。</w:t>
            </w:r>
          </w:p>
        </w:tc>
      </w:tr>
      <w:tr w14:paraId="1089A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noWrap w:val="0"/>
            <w:vAlign w:val="center"/>
          </w:tcPr>
          <w:p w14:paraId="0C77464A">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highlight w:val="none"/>
                <w:lang w:val="en-US" w:eastAsia="zh-CN" w:bidi="ar"/>
              </w:rPr>
            </w:pPr>
            <w:r>
              <w:rPr>
                <w:rFonts w:hint="eastAsia" w:cs="Times New Roman"/>
                <w:color w:val="auto"/>
                <w:kern w:val="0"/>
                <w:sz w:val="21"/>
                <w:szCs w:val="21"/>
                <w:highlight w:val="none"/>
                <w:lang w:val="en-US" w:eastAsia="zh-CN" w:bidi="ar"/>
              </w:rPr>
              <w:t>2</w:t>
            </w:r>
          </w:p>
        </w:tc>
        <w:tc>
          <w:tcPr>
            <w:tcW w:w="528" w:type="pct"/>
            <w:noWrap w:val="0"/>
            <w:vAlign w:val="center"/>
          </w:tcPr>
          <w:p w14:paraId="6761DB01">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sz w:val="21"/>
                <w:szCs w:val="21"/>
                <w:highlight w:val="none"/>
                <w:lang w:val="en-US" w:eastAsia="zh-CN"/>
              </w:rPr>
            </w:pPr>
            <w:r>
              <w:rPr>
                <w:rFonts w:hint="default" w:ascii="Times New Roman" w:hAnsi="Times New Roman" w:cs="Times New Roman"/>
                <w:color w:val="auto"/>
                <w:sz w:val="21"/>
                <w:szCs w:val="21"/>
                <w:lang w:val="en-US" w:eastAsia="zh-CN"/>
              </w:rPr>
              <w:t>腊晓林</w:t>
            </w:r>
          </w:p>
        </w:tc>
        <w:tc>
          <w:tcPr>
            <w:tcW w:w="813" w:type="pct"/>
            <w:noWrap w:val="0"/>
            <w:vAlign w:val="center"/>
          </w:tcPr>
          <w:p w14:paraId="32758242">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sz w:val="21"/>
                <w:szCs w:val="21"/>
                <w:highlight w:val="none"/>
                <w:lang w:val="en-US" w:eastAsia="zh-CN"/>
              </w:rPr>
            </w:pPr>
            <w:r>
              <w:rPr>
                <w:rFonts w:hint="default" w:ascii="Times New Roman" w:hAnsi="Times New Roman" w:cs="Times New Roman" w:eastAsiaTheme="minorEastAsia"/>
                <w:color w:val="auto"/>
                <w:sz w:val="21"/>
                <w:szCs w:val="21"/>
                <w:highlight w:val="none"/>
                <w:lang w:val="en-US" w:eastAsia="zh-CN"/>
              </w:rPr>
              <w:t>报告复核人</w:t>
            </w:r>
          </w:p>
        </w:tc>
        <w:tc>
          <w:tcPr>
            <w:tcW w:w="969" w:type="pct"/>
            <w:noWrap w:val="0"/>
            <w:vAlign w:val="center"/>
          </w:tcPr>
          <w:p w14:paraId="128735A6">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sz w:val="21"/>
                <w:szCs w:val="21"/>
                <w:highlight w:val="none"/>
                <w:lang w:val="en-US" w:eastAsia="zh-CN"/>
              </w:rPr>
            </w:pPr>
            <w:r>
              <w:rPr>
                <w:rFonts w:hint="default" w:ascii="Times New Roman" w:hAnsi="Times New Roman" w:cs="Times New Roman" w:eastAsiaTheme="minorEastAsia"/>
                <w:color w:val="auto"/>
                <w:sz w:val="21"/>
                <w:szCs w:val="21"/>
                <w:highlight w:val="none"/>
                <w:lang w:val="en-US" w:eastAsia="zh-CN"/>
              </w:rPr>
              <w:t>咨询工程师</w:t>
            </w:r>
          </w:p>
        </w:tc>
        <w:tc>
          <w:tcPr>
            <w:tcW w:w="2354" w:type="pct"/>
            <w:noWrap w:val="0"/>
            <w:vAlign w:val="center"/>
          </w:tcPr>
          <w:p w14:paraId="7DC08579">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default" w:ascii="Times New Roman" w:hAnsi="Times New Roman" w:cs="Times New Roman" w:eastAsiaTheme="minorEastAsia"/>
                <w:bCs/>
                <w:snapToGrid w:val="0"/>
                <w:color w:val="auto"/>
                <w:sz w:val="21"/>
                <w:szCs w:val="21"/>
                <w:highlight w:val="none"/>
                <w:lang w:val="en-US" w:eastAsia="zh-CN"/>
              </w:rPr>
            </w:pPr>
            <w:r>
              <w:rPr>
                <w:rFonts w:hint="default" w:ascii="Times New Roman" w:hAnsi="Times New Roman" w:cs="Times New Roman" w:eastAsiaTheme="minorEastAsia"/>
                <w:color w:val="auto"/>
                <w:sz w:val="21"/>
                <w:szCs w:val="21"/>
                <w:highlight w:val="none"/>
              </w:rPr>
              <w:t>通过稽核强化工作质量管理，严格把控评价结果报告质量关，</w:t>
            </w:r>
            <w:r>
              <w:rPr>
                <w:rFonts w:hint="default" w:ascii="Times New Roman" w:hAnsi="Times New Roman" w:cs="Times New Roman" w:eastAsiaTheme="minorEastAsia"/>
                <w:bCs/>
                <w:snapToGrid w:val="0"/>
                <w:color w:val="auto"/>
                <w:sz w:val="21"/>
                <w:szCs w:val="21"/>
                <w:highlight w:val="none"/>
                <w:lang w:val="en-US" w:eastAsia="zh-CN"/>
              </w:rPr>
              <w:t>审核实施方案，负责对项目成果进行复核，</w:t>
            </w:r>
            <w:r>
              <w:rPr>
                <w:rFonts w:hint="default" w:ascii="Times New Roman" w:hAnsi="Times New Roman" w:cs="Times New Roman" w:eastAsiaTheme="minorEastAsia"/>
                <w:color w:val="auto"/>
                <w:sz w:val="21"/>
                <w:szCs w:val="21"/>
                <w:highlight w:val="none"/>
              </w:rPr>
              <w:t>杜绝或减少对外出具的报告中出现不应出错或低级错误的发生，确保工作质量不出现重大纰漏。</w:t>
            </w:r>
          </w:p>
        </w:tc>
      </w:tr>
      <w:tr w14:paraId="1A189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noWrap w:val="0"/>
            <w:vAlign w:val="center"/>
          </w:tcPr>
          <w:p w14:paraId="2906130A">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cs="Times New Roman" w:eastAsiaTheme="minorEastAsia"/>
                <w:color w:val="auto"/>
                <w:sz w:val="21"/>
                <w:szCs w:val="21"/>
                <w:highlight w:val="none"/>
                <w:lang w:eastAsia="zh-CN"/>
              </w:rPr>
            </w:pPr>
            <w:r>
              <w:rPr>
                <w:rFonts w:hint="eastAsia" w:cs="Times New Roman"/>
                <w:color w:val="auto"/>
                <w:kern w:val="0"/>
                <w:sz w:val="21"/>
                <w:szCs w:val="21"/>
                <w:highlight w:val="none"/>
                <w:lang w:val="en-US" w:eastAsia="zh-CN" w:bidi="ar"/>
              </w:rPr>
              <w:t>3</w:t>
            </w:r>
          </w:p>
        </w:tc>
        <w:tc>
          <w:tcPr>
            <w:tcW w:w="528" w:type="pct"/>
            <w:noWrap w:val="0"/>
            <w:vAlign w:val="center"/>
          </w:tcPr>
          <w:p w14:paraId="1F79C64D">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sz w:val="21"/>
                <w:szCs w:val="21"/>
                <w:highlight w:val="none"/>
                <w:lang w:val="en-US" w:eastAsia="zh-CN"/>
              </w:rPr>
            </w:pPr>
            <w:r>
              <w:rPr>
                <w:rFonts w:hint="default" w:ascii="Times New Roman" w:hAnsi="Times New Roman" w:cs="Times New Roman"/>
                <w:color w:val="auto"/>
                <w:sz w:val="21"/>
                <w:szCs w:val="21"/>
                <w:lang w:val="en-US" w:eastAsia="zh-CN"/>
              </w:rPr>
              <w:t>张珊</w:t>
            </w:r>
          </w:p>
        </w:tc>
        <w:tc>
          <w:tcPr>
            <w:tcW w:w="813" w:type="pct"/>
            <w:noWrap w:val="0"/>
            <w:vAlign w:val="center"/>
          </w:tcPr>
          <w:p w14:paraId="4260DB6A">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sz w:val="21"/>
                <w:szCs w:val="21"/>
                <w:highlight w:val="none"/>
                <w:lang w:eastAsia="en-US"/>
              </w:rPr>
            </w:pPr>
            <w:r>
              <w:rPr>
                <w:rFonts w:hint="default" w:ascii="Times New Roman" w:hAnsi="Times New Roman" w:cs="Times New Roman" w:eastAsiaTheme="minorEastAsia"/>
                <w:color w:val="auto"/>
                <w:sz w:val="21"/>
                <w:szCs w:val="21"/>
                <w:highlight w:val="none"/>
              </w:rPr>
              <w:t>项目负责人</w:t>
            </w:r>
          </w:p>
        </w:tc>
        <w:tc>
          <w:tcPr>
            <w:tcW w:w="969" w:type="pct"/>
            <w:noWrap w:val="0"/>
            <w:vAlign w:val="center"/>
          </w:tcPr>
          <w:p w14:paraId="42B75D8B">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项目</w:t>
            </w:r>
            <w:r>
              <w:rPr>
                <w:rFonts w:hint="default" w:ascii="Times New Roman" w:hAnsi="Times New Roman" w:cs="Times New Roman" w:eastAsiaTheme="minorEastAsia"/>
                <w:color w:val="auto"/>
                <w:sz w:val="21"/>
                <w:szCs w:val="21"/>
                <w:highlight w:val="none"/>
                <w:lang w:eastAsia="zh-Hans"/>
              </w:rPr>
              <w:t>经理</w:t>
            </w:r>
          </w:p>
        </w:tc>
        <w:tc>
          <w:tcPr>
            <w:tcW w:w="2354" w:type="pct"/>
            <w:noWrap w:val="0"/>
            <w:vAlign w:val="center"/>
          </w:tcPr>
          <w:p w14:paraId="5424D065">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default" w:ascii="Times New Roman" w:hAnsi="Times New Roman" w:cs="Times New Roman" w:eastAsiaTheme="minorEastAsia"/>
                <w:color w:val="auto"/>
                <w:kern w:val="0"/>
                <w:sz w:val="21"/>
                <w:szCs w:val="21"/>
                <w:highlight w:val="none"/>
                <w:lang w:eastAsia="zh-CN" w:bidi="ar"/>
              </w:rPr>
            </w:pPr>
            <w:r>
              <w:rPr>
                <w:rFonts w:hint="default" w:ascii="Times New Roman" w:hAnsi="Times New Roman" w:cs="Times New Roman" w:eastAsiaTheme="minorEastAsia"/>
                <w:bCs/>
                <w:snapToGrid w:val="0"/>
                <w:color w:val="auto"/>
                <w:sz w:val="21"/>
                <w:szCs w:val="21"/>
                <w:highlight w:val="none"/>
              </w:rPr>
              <w:t>负责制定项目实施计划，并组织开展具体评价工作，把控项目质量、项目进度和方向，推动服务方案执行和落实；讨论阶段性成果，向本单位和委托方关于本项目进展情况定期汇报进展情况；及时完成项目成果</w:t>
            </w:r>
            <w:r>
              <w:rPr>
                <w:rFonts w:hint="default" w:ascii="Times New Roman" w:hAnsi="Times New Roman" w:cs="Times New Roman"/>
                <w:bCs/>
                <w:snapToGrid w:val="0"/>
                <w:color w:val="auto"/>
                <w:sz w:val="21"/>
                <w:szCs w:val="21"/>
                <w:highlight w:val="none"/>
                <w:lang w:eastAsia="zh-CN"/>
              </w:rPr>
              <w:t>。</w:t>
            </w:r>
          </w:p>
        </w:tc>
      </w:tr>
      <w:tr w14:paraId="4527A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noWrap w:val="0"/>
            <w:vAlign w:val="center"/>
          </w:tcPr>
          <w:p w14:paraId="5E502F3F">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highlight w:val="none"/>
                <w:lang w:val="en-US" w:eastAsia="zh-CN" w:bidi="ar"/>
              </w:rPr>
            </w:pPr>
            <w:r>
              <w:rPr>
                <w:rFonts w:hint="eastAsia" w:cs="Times New Roman"/>
                <w:color w:val="auto"/>
                <w:kern w:val="0"/>
                <w:sz w:val="21"/>
                <w:szCs w:val="21"/>
                <w:highlight w:val="none"/>
                <w:lang w:val="en-US" w:eastAsia="zh-CN" w:bidi="ar"/>
              </w:rPr>
              <w:t>4</w:t>
            </w:r>
          </w:p>
        </w:tc>
        <w:tc>
          <w:tcPr>
            <w:tcW w:w="528" w:type="pct"/>
            <w:noWrap w:val="0"/>
            <w:vAlign w:val="center"/>
          </w:tcPr>
          <w:p w14:paraId="2E1E5839">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bCs/>
                <w:snapToGrid w:val="0"/>
                <w:color w:val="auto"/>
                <w:sz w:val="21"/>
                <w:szCs w:val="21"/>
                <w:highlight w:val="none"/>
                <w:lang w:val="en-US" w:eastAsia="zh-CN"/>
              </w:rPr>
            </w:pPr>
            <w:r>
              <w:rPr>
                <w:rFonts w:hint="default" w:ascii="Times New Roman" w:hAnsi="Times New Roman" w:cs="Times New Roman"/>
                <w:color w:val="auto"/>
                <w:sz w:val="21"/>
                <w:szCs w:val="21"/>
                <w:lang w:val="en-US" w:eastAsia="zh-CN"/>
              </w:rPr>
              <w:t>孙婕</w:t>
            </w:r>
          </w:p>
        </w:tc>
        <w:tc>
          <w:tcPr>
            <w:tcW w:w="813" w:type="pct"/>
            <w:noWrap w:val="0"/>
            <w:vAlign w:val="center"/>
          </w:tcPr>
          <w:p w14:paraId="7D5810C2">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sz w:val="21"/>
                <w:szCs w:val="21"/>
                <w:highlight w:val="none"/>
                <w:lang w:val="en-US" w:eastAsia="zh-CN"/>
              </w:rPr>
            </w:pPr>
            <w:r>
              <w:rPr>
                <w:rFonts w:hint="default" w:ascii="Times New Roman" w:hAnsi="Times New Roman" w:cs="Times New Roman" w:eastAsiaTheme="minorEastAsia"/>
                <w:color w:val="auto"/>
                <w:sz w:val="21"/>
                <w:szCs w:val="21"/>
                <w:highlight w:val="none"/>
              </w:rPr>
              <w:t>项目绩效评价人员</w:t>
            </w:r>
          </w:p>
        </w:tc>
        <w:tc>
          <w:tcPr>
            <w:tcW w:w="969" w:type="pct"/>
            <w:noWrap w:val="0"/>
            <w:vAlign w:val="center"/>
          </w:tcPr>
          <w:p w14:paraId="5D8C5D53">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sz w:val="21"/>
                <w:szCs w:val="21"/>
                <w:highlight w:val="none"/>
                <w:lang w:val="en-US" w:eastAsia="zh-CN"/>
              </w:rPr>
            </w:pPr>
            <w:r>
              <w:rPr>
                <w:rFonts w:hint="default" w:ascii="Times New Roman" w:hAnsi="Times New Roman" w:cs="Times New Roman" w:eastAsiaTheme="minorEastAsia"/>
                <w:color w:val="auto"/>
                <w:sz w:val="21"/>
                <w:szCs w:val="21"/>
                <w:highlight w:val="none"/>
                <w:lang w:val="en-US" w:eastAsia="zh-CN"/>
              </w:rPr>
              <w:t>项目助理</w:t>
            </w:r>
          </w:p>
        </w:tc>
        <w:tc>
          <w:tcPr>
            <w:tcW w:w="2354" w:type="pct"/>
            <w:noWrap w:val="0"/>
            <w:vAlign w:val="center"/>
          </w:tcPr>
          <w:p w14:paraId="7B1B5A5B">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left"/>
              <w:textAlignment w:val="center"/>
              <w:rPr>
                <w:rFonts w:hint="default" w:ascii="Times New Roman" w:hAnsi="Times New Roman" w:cs="Times New Roman"/>
                <w:bCs/>
                <w:snapToGrid w:val="0"/>
                <w:color w:val="auto"/>
                <w:sz w:val="21"/>
                <w:szCs w:val="21"/>
                <w:highlight w:val="none"/>
                <w:lang w:val="en-US" w:eastAsia="zh-CN"/>
              </w:rPr>
            </w:pPr>
            <w:r>
              <w:rPr>
                <w:rFonts w:hint="default" w:ascii="Times New Roman" w:hAnsi="Times New Roman" w:cs="Times New Roman" w:eastAsiaTheme="minorEastAsia"/>
                <w:bCs/>
                <w:snapToGrid w:val="0"/>
                <w:color w:val="auto"/>
                <w:sz w:val="21"/>
                <w:szCs w:val="21"/>
                <w:highlight w:val="none"/>
              </w:rPr>
              <w:t>按照计划和分工</w:t>
            </w:r>
            <w:r>
              <w:rPr>
                <w:rFonts w:hint="default" w:ascii="Times New Roman" w:hAnsi="Times New Roman" w:cs="Times New Roman" w:eastAsiaTheme="minorEastAsia"/>
                <w:bCs/>
                <w:snapToGrid w:val="0"/>
                <w:color w:val="auto"/>
                <w:sz w:val="21"/>
                <w:szCs w:val="21"/>
                <w:highlight w:val="none"/>
                <w:lang w:eastAsia="zh-CN"/>
              </w:rPr>
              <w:t>完成</w:t>
            </w:r>
            <w:r>
              <w:rPr>
                <w:rFonts w:hint="default" w:ascii="Times New Roman" w:hAnsi="Times New Roman" w:cs="Times New Roman" w:eastAsiaTheme="minorEastAsia"/>
                <w:bCs/>
                <w:snapToGrid w:val="0"/>
                <w:color w:val="auto"/>
                <w:sz w:val="21"/>
                <w:szCs w:val="21"/>
                <w:highlight w:val="none"/>
              </w:rPr>
              <w:t>现场调研、资料收集和检查、项目相关人员访谈、问题清单整理、数据整理、撰写报告等工作。</w:t>
            </w:r>
          </w:p>
        </w:tc>
      </w:tr>
    </w:tbl>
    <w:p w14:paraId="60BE9ED5">
      <w:pPr>
        <w:pStyle w:val="6"/>
        <w:spacing w:before="0" w:after="0" w:line="360" w:lineRule="auto"/>
        <w:ind w:firstLine="641"/>
        <w:rPr>
          <w:rFonts w:hint="default" w:ascii="Times New Roman" w:hAnsi="Times New Roman" w:cs="Times New Roman"/>
          <w:color w:val="auto"/>
        </w:rPr>
      </w:pPr>
    </w:p>
    <w:p w14:paraId="5045BEC6">
      <w:pPr>
        <w:pStyle w:val="6"/>
        <w:spacing w:before="0" w:after="0" w:line="360" w:lineRule="auto"/>
        <w:ind w:firstLine="641"/>
        <w:rPr>
          <w:rFonts w:hint="default" w:ascii="Times New Roman" w:hAnsi="Times New Roman" w:cs="Times New Roman"/>
          <w:color w:val="auto"/>
        </w:rPr>
      </w:pPr>
      <w:r>
        <w:rPr>
          <w:rFonts w:hint="default" w:ascii="Times New Roman" w:hAnsi="Times New Roman" w:cs="Times New Roman"/>
          <w:color w:val="auto"/>
        </w:rPr>
        <w:t>2.确定绩效评价工作方案</w:t>
      </w:r>
    </w:p>
    <w:p w14:paraId="460653B7">
      <w:pPr>
        <w:bidi w:val="0"/>
        <w:spacing w:before="0" w:after="0" w:line="360" w:lineRule="auto"/>
        <w:ind w:firstLine="420" w:firstLineChars="200"/>
        <w:rPr>
          <w:rFonts w:hint="eastAsia" w:asciiTheme="minorEastAsia" w:hAnsiTheme="minorEastAsia" w:cstheme="minorEastAsia"/>
          <w:color w:val="auto"/>
        </w:rPr>
      </w:pPr>
      <w:r>
        <w:rPr>
          <w:rFonts w:hint="eastAsia" w:asciiTheme="minorEastAsia" w:hAnsiTheme="minorEastAsia" w:cstheme="minorEastAsia"/>
          <w:color w:val="auto"/>
        </w:rPr>
        <w:t>绩效评价小组根据前期初步收集的项目资料，根据</w:t>
      </w:r>
      <w:r>
        <w:rPr>
          <w:rFonts w:hint="default" w:ascii="Times New Roman" w:hAnsi="Times New Roman" w:cs="Times New Roman"/>
          <w:color w:val="auto"/>
        </w:rPr>
        <w:t>项目实施内容及政策文件要求，制定《</w:t>
      </w:r>
      <w:r>
        <w:rPr>
          <w:rFonts w:hint="default" w:ascii="Times New Roman" w:hAnsi="Times New Roman" w:cs="Times New Roman"/>
          <w:color w:val="auto"/>
          <w:lang w:eastAsia="zh-CN"/>
        </w:rPr>
        <w:t>伊宁县</w:t>
      </w:r>
      <w:r>
        <w:rPr>
          <w:rFonts w:hint="default" w:ascii="Times New Roman" w:hAnsi="Times New Roman" w:cs="Times New Roman"/>
          <w:color w:val="auto"/>
        </w:rPr>
        <w:t>“</w:t>
      </w:r>
      <w:r>
        <w:rPr>
          <w:rFonts w:hint="default" w:ascii="Times New Roman" w:hAnsi="Times New Roman" w:cs="Times New Roman"/>
          <w:color w:val="auto"/>
          <w:lang w:eastAsia="zh-CN"/>
        </w:rPr>
        <w:t>福彩圆梦</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lang w:eastAsia="zh-CN"/>
        </w:rPr>
        <w:t>孤儿助学工程</w:t>
      </w:r>
      <w:r>
        <w:rPr>
          <w:rFonts w:hint="default" w:ascii="Times New Roman" w:hAnsi="Times New Roman" w:cs="Times New Roman"/>
          <w:color w:val="auto"/>
        </w:rPr>
        <w:t>”项目绩效评价实施方案》。</w:t>
      </w:r>
      <w:r>
        <w:rPr>
          <w:rFonts w:hint="default" w:ascii="Times New Roman" w:hAnsi="Times New Roman" w:cs="Times New Roman"/>
          <w:color w:val="auto"/>
          <w:lang w:val="en-US" w:eastAsia="zh-CN"/>
        </w:rPr>
        <w:t>2025</w:t>
      </w:r>
      <w:r>
        <w:rPr>
          <w:rFonts w:hint="default" w:ascii="Times New Roman" w:hAnsi="Times New Roman" w:cs="Times New Roman"/>
          <w:color w:val="auto"/>
        </w:rPr>
        <w:t>年</w:t>
      </w:r>
      <w:r>
        <w:rPr>
          <w:rFonts w:hint="default" w:ascii="Times New Roman" w:hAnsi="Times New Roman" w:cs="Times New Roman"/>
          <w:color w:val="auto"/>
          <w:lang w:val="en-US" w:eastAsia="zh-CN"/>
        </w:rPr>
        <w:t>7</w:t>
      </w:r>
      <w:r>
        <w:rPr>
          <w:rFonts w:hint="default" w:ascii="Times New Roman" w:hAnsi="Times New Roman" w:cs="Times New Roman"/>
          <w:color w:val="auto"/>
        </w:rPr>
        <w:t>月</w:t>
      </w:r>
      <w:r>
        <w:rPr>
          <w:rFonts w:hint="default" w:ascii="Times New Roman" w:hAnsi="Times New Roman" w:cs="Times New Roman"/>
          <w:color w:val="auto"/>
          <w:lang w:val="en-US" w:eastAsia="zh-CN"/>
        </w:rPr>
        <w:t>1</w:t>
      </w:r>
      <w:r>
        <w:rPr>
          <w:rFonts w:hint="default" w:ascii="Times New Roman" w:hAnsi="Times New Roman" w:cs="Times New Roman"/>
          <w:color w:val="auto"/>
        </w:rPr>
        <w:t>日，</w:t>
      </w:r>
      <w:r>
        <w:rPr>
          <w:rFonts w:hint="eastAsia" w:asciiTheme="minorEastAsia" w:hAnsiTheme="minorEastAsia" w:cstheme="minorEastAsia"/>
          <w:color w:val="auto"/>
          <w:highlight w:val="none"/>
        </w:rPr>
        <w:t>绩</w:t>
      </w:r>
      <w:r>
        <w:rPr>
          <w:rFonts w:hint="eastAsia" w:asciiTheme="minorEastAsia" w:hAnsiTheme="minorEastAsia" w:cstheme="minorEastAsia"/>
          <w:color w:val="auto"/>
        </w:rPr>
        <w:t>效评价小组将实施方案初稿提交至主评人进行</w:t>
      </w:r>
      <w:r>
        <w:rPr>
          <w:rFonts w:hint="eastAsia" w:asciiTheme="minorEastAsia" w:hAnsiTheme="minorEastAsia" w:cstheme="minorEastAsia"/>
          <w:color w:val="auto"/>
          <w:lang w:val="en-US" w:eastAsia="zh-CN"/>
        </w:rPr>
        <w:t>审核</w:t>
      </w:r>
      <w:r>
        <w:rPr>
          <w:rFonts w:hint="eastAsia" w:asciiTheme="minorEastAsia" w:hAnsiTheme="minorEastAsia" w:cstheme="minorEastAsia"/>
          <w:color w:val="auto"/>
        </w:rPr>
        <w:t>。经</w:t>
      </w:r>
      <w:r>
        <w:rPr>
          <w:rFonts w:hint="eastAsia" w:asciiTheme="minorEastAsia" w:hAnsiTheme="minorEastAsia" w:cstheme="minorEastAsia"/>
          <w:color w:val="auto"/>
          <w:lang w:val="en-US" w:eastAsia="zh-CN"/>
        </w:rPr>
        <w:t>审核</w:t>
      </w:r>
      <w:r>
        <w:rPr>
          <w:rFonts w:hint="eastAsia" w:asciiTheme="minorEastAsia" w:hAnsiTheme="minorEastAsia" w:cstheme="minorEastAsia"/>
          <w:color w:val="auto"/>
        </w:rPr>
        <w:t>通过后，项目绩效评价工作正式启动。</w:t>
      </w:r>
    </w:p>
    <w:p w14:paraId="72EC2729">
      <w:pPr>
        <w:pStyle w:val="6"/>
        <w:spacing w:before="0" w:after="0" w:line="360" w:lineRule="auto"/>
        <w:ind w:firstLine="641"/>
        <w:rPr>
          <w:rFonts w:hint="default" w:ascii="Times New Roman" w:hAnsi="Times New Roman" w:cs="Times New Roman"/>
          <w:color w:val="auto"/>
        </w:rPr>
      </w:pPr>
      <w:bookmarkStart w:id="57" w:name="_Toc68364664"/>
      <w:r>
        <w:rPr>
          <w:rFonts w:hint="default" w:ascii="Times New Roman" w:hAnsi="Times New Roman" w:cs="Times New Roman"/>
          <w:color w:val="auto"/>
        </w:rPr>
        <w:t>3.组织实施</w:t>
      </w:r>
    </w:p>
    <w:p w14:paraId="0457C609">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lang w:val="en-US" w:eastAsia="zh-CN"/>
        </w:rPr>
        <w:t>2025</w:t>
      </w:r>
      <w:r>
        <w:rPr>
          <w:rFonts w:hint="default" w:ascii="Times New Roman" w:hAnsi="Times New Roman" w:cs="Times New Roman"/>
          <w:color w:val="auto"/>
        </w:rPr>
        <w:t>年</w:t>
      </w:r>
      <w:r>
        <w:rPr>
          <w:rFonts w:hint="default" w:ascii="Times New Roman" w:hAnsi="Times New Roman" w:cs="Times New Roman"/>
          <w:color w:val="auto"/>
          <w:lang w:val="en-US" w:eastAsia="zh-CN"/>
        </w:rPr>
        <w:t>7</w:t>
      </w:r>
      <w:r>
        <w:rPr>
          <w:rFonts w:hint="default" w:ascii="Times New Roman" w:hAnsi="Times New Roman" w:cs="Times New Roman"/>
          <w:color w:val="auto"/>
        </w:rPr>
        <w:t>月</w:t>
      </w:r>
      <w:r>
        <w:rPr>
          <w:rFonts w:hint="default" w:ascii="Times New Roman" w:hAnsi="Times New Roman" w:cs="Times New Roman"/>
          <w:color w:val="auto"/>
          <w:lang w:val="en-US" w:eastAsia="zh-CN"/>
        </w:rPr>
        <w:t>2</w:t>
      </w:r>
      <w:r>
        <w:rPr>
          <w:rFonts w:hint="default" w:ascii="Times New Roman" w:hAnsi="Times New Roman" w:cs="Times New Roman"/>
          <w:color w:val="auto"/>
        </w:rPr>
        <w:t>日</w:t>
      </w:r>
      <w:r>
        <w:rPr>
          <w:rFonts w:hint="default" w:ascii="Times New Roman" w:hAnsi="Times New Roman" w:cs="Times New Roman"/>
          <w:color w:val="auto"/>
          <w:lang w:val="en-US" w:eastAsia="zh-CN"/>
        </w:rPr>
        <w:t>至2025</w:t>
      </w:r>
      <w:r>
        <w:rPr>
          <w:rFonts w:hint="default" w:ascii="Times New Roman" w:hAnsi="Times New Roman" w:cs="Times New Roman"/>
          <w:color w:val="auto"/>
        </w:rPr>
        <w:t>年</w:t>
      </w:r>
      <w:r>
        <w:rPr>
          <w:rFonts w:hint="default" w:ascii="Times New Roman" w:hAnsi="Times New Roman" w:cs="Times New Roman"/>
          <w:color w:val="auto"/>
          <w:lang w:val="en-US" w:eastAsia="zh-CN"/>
        </w:rPr>
        <w:t>7</w:t>
      </w:r>
      <w:r>
        <w:rPr>
          <w:rFonts w:hint="default" w:ascii="Times New Roman" w:hAnsi="Times New Roman" w:cs="Times New Roman"/>
          <w:color w:val="auto"/>
        </w:rPr>
        <w:t>月</w:t>
      </w:r>
      <w:r>
        <w:rPr>
          <w:rFonts w:hint="default" w:ascii="Times New Roman" w:hAnsi="Times New Roman" w:cs="Times New Roman"/>
          <w:color w:val="auto"/>
          <w:lang w:val="en-US" w:eastAsia="zh-CN"/>
        </w:rPr>
        <w:t>9</w:t>
      </w:r>
      <w:r>
        <w:rPr>
          <w:rFonts w:hint="default" w:ascii="Times New Roman" w:hAnsi="Times New Roman" w:cs="Times New Roman"/>
          <w:color w:val="auto"/>
        </w:rPr>
        <w:t>日</w:t>
      </w:r>
      <w:r>
        <w:rPr>
          <w:rFonts w:hint="default" w:ascii="Times New Roman" w:hAnsi="Times New Roman" w:cs="Times New Roman"/>
          <w:color w:val="auto"/>
          <w:lang w:eastAsia="zh-CN"/>
        </w:rPr>
        <w:t>，</w:t>
      </w:r>
      <w:r>
        <w:rPr>
          <w:rFonts w:hint="default" w:ascii="Times New Roman" w:hAnsi="Times New Roman" w:cs="Times New Roman"/>
          <w:color w:val="auto"/>
        </w:rPr>
        <w:t>绩效评价组采取现场和非现场评价相结合的方式开展调研、查阅基础资料、数据采集、问卷调查、访谈、数据分析等绩效评价工作，具体实施情况如下：</w:t>
      </w:r>
    </w:p>
    <w:p w14:paraId="20DDF9B1">
      <w:pPr>
        <w:spacing w:before="0" w:after="0" w:line="360" w:lineRule="auto"/>
        <w:ind w:firstLine="420"/>
        <w:rPr>
          <w:rFonts w:hint="default" w:ascii="Times New Roman" w:hAnsi="Times New Roman" w:cs="Times New Roman"/>
          <w:color w:val="auto"/>
        </w:rPr>
      </w:pPr>
      <w:bookmarkStart w:id="58" w:name="_Toc11994"/>
      <w:r>
        <w:rPr>
          <w:rFonts w:hint="default" w:ascii="Times New Roman" w:hAnsi="Times New Roman" w:cs="Times New Roman"/>
          <w:color w:val="auto"/>
        </w:rPr>
        <w:t>（1）与</w:t>
      </w:r>
      <w:r>
        <w:rPr>
          <w:rFonts w:hint="default" w:ascii="Times New Roman" w:hAnsi="Times New Roman" w:cs="Times New Roman"/>
          <w:color w:val="auto"/>
          <w:lang w:val="en-US" w:eastAsia="zh-CN"/>
        </w:rPr>
        <w:t>伊宁县民政局相关业务处室</w:t>
      </w:r>
      <w:r>
        <w:rPr>
          <w:rFonts w:hint="default" w:ascii="Times New Roman" w:hAnsi="Times New Roman" w:cs="Times New Roman"/>
          <w:color w:val="auto"/>
        </w:rPr>
        <w:t>管理人员进行访谈沟通，全面了解项目实施的目的、预算安排、组织管理、实施结果等方面的内容。根据</w:t>
      </w:r>
      <w:r>
        <w:rPr>
          <w:rFonts w:hint="default" w:ascii="Times New Roman" w:hAnsi="Times New Roman" w:cs="Times New Roman"/>
          <w:color w:val="auto"/>
          <w:lang w:val="en-US" w:eastAsia="zh-CN"/>
        </w:rPr>
        <w:t>伊宁县民政局</w:t>
      </w:r>
      <w:r>
        <w:rPr>
          <w:rFonts w:hint="default" w:ascii="Times New Roman" w:hAnsi="Times New Roman" w:cs="Times New Roman"/>
          <w:color w:val="auto"/>
        </w:rPr>
        <w:t>提供的项目立项、实施、资金使用及管理等方面的资料，对资料进行梳理、分析，并对标相关的政策依据、法律法规、单位制度等，完成绩效评价内容所需的印证资料整理汇总。</w:t>
      </w:r>
    </w:p>
    <w:p w14:paraId="19F9CF50">
      <w:pPr>
        <w:spacing w:before="0" w:after="0" w:line="360" w:lineRule="auto"/>
        <w:ind w:firstLine="420"/>
        <w:rPr>
          <w:rFonts w:hint="default" w:ascii="Times New Roman" w:hAnsi="Times New Roman" w:cs="Times New Roman"/>
          <w:color w:val="auto"/>
          <w:lang w:eastAsia="zh-CN"/>
        </w:rPr>
      </w:pPr>
      <w:r>
        <w:rPr>
          <w:rFonts w:hint="default" w:ascii="Times New Roman" w:hAnsi="Times New Roman" w:cs="Times New Roman"/>
          <w:color w:val="auto"/>
        </w:rPr>
        <w:t>（</w:t>
      </w:r>
      <w:r>
        <w:rPr>
          <w:rFonts w:hint="default" w:ascii="Times New Roman" w:hAnsi="Times New Roman" w:cs="Times New Roman"/>
          <w:color w:val="auto"/>
          <w:lang w:val="en-US" w:eastAsia="zh-CN"/>
        </w:rPr>
        <w:t>2</w:t>
      </w:r>
      <w:r>
        <w:rPr>
          <w:rFonts w:hint="default" w:ascii="Times New Roman" w:hAnsi="Times New Roman" w:cs="Times New Roman"/>
          <w:color w:val="auto"/>
        </w:rPr>
        <w:t>）</w:t>
      </w:r>
      <w:bookmarkEnd w:id="58"/>
      <w:bookmarkStart w:id="59" w:name="_Toc419984726"/>
      <w:bookmarkStart w:id="60" w:name="_Toc26870"/>
      <w:bookmarkStart w:id="61" w:name="_Toc428278235"/>
      <w:r>
        <w:rPr>
          <w:rFonts w:hint="default" w:ascii="Times New Roman" w:hAnsi="Times New Roman" w:cs="Times New Roman"/>
          <w:color w:val="auto"/>
        </w:rPr>
        <w:t>实地调研和现场勘察</w:t>
      </w:r>
      <w:r>
        <w:rPr>
          <w:rFonts w:hint="default" w:ascii="Times New Roman" w:hAnsi="Times New Roman" w:cs="Times New Roman"/>
          <w:color w:val="auto"/>
          <w:lang w:eastAsia="zh-CN"/>
        </w:rPr>
        <w:t>：尽职开展前期调查，全面收集项目决策依据、财政预算安排执行情况、</w:t>
      </w:r>
      <w:r>
        <w:rPr>
          <w:rFonts w:hint="default" w:ascii="Times New Roman" w:hAnsi="Times New Roman" w:cs="Times New Roman"/>
          <w:color w:val="auto"/>
          <w:lang w:val="en-US" w:eastAsia="zh-CN"/>
        </w:rPr>
        <w:t>补助档案</w:t>
      </w:r>
      <w:r>
        <w:rPr>
          <w:rFonts w:hint="default" w:ascii="Times New Roman" w:hAnsi="Times New Roman" w:cs="Times New Roman"/>
          <w:color w:val="auto"/>
          <w:lang w:eastAsia="zh-CN"/>
        </w:rPr>
        <w:t>资料等相关资料，了解项目实施情况，与项目负责人进行交谈，并对必要的财务、</w:t>
      </w:r>
      <w:r>
        <w:rPr>
          <w:rFonts w:hint="default" w:ascii="Times New Roman" w:hAnsi="Times New Roman" w:cs="Times New Roman"/>
          <w:color w:val="auto"/>
          <w:lang w:val="en-US" w:eastAsia="zh-CN"/>
        </w:rPr>
        <w:t>资金发放手续</w:t>
      </w:r>
      <w:r>
        <w:rPr>
          <w:rFonts w:hint="default" w:ascii="Times New Roman" w:hAnsi="Times New Roman" w:cs="Times New Roman"/>
          <w:color w:val="auto"/>
          <w:lang w:eastAsia="zh-CN"/>
        </w:rPr>
        <w:t>进行现场调研取证，了解项目状况。</w:t>
      </w:r>
    </w:p>
    <w:p w14:paraId="36FE6B3E">
      <w:pPr>
        <w:spacing w:line="360" w:lineRule="auto"/>
        <w:ind w:firstLine="420"/>
        <w:rPr>
          <w:rFonts w:hint="default" w:ascii="Times New Roman" w:hAnsi="Times New Roman" w:cs="Times New Roman"/>
          <w:color w:val="auto"/>
        </w:rPr>
      </w:pP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3</w:t>
      </w:r>
      <w:r>
        <w:rPr>
          <w:rFonts w:hint="default" w:ascii="Times New Roman" w:hAnsi="Times New Roman" w:cs="Times New Roman"/>
          <w:color w:val="auto"/>
          <w:lang w:eastAsia="zh-CN"/>
        </w:rPr>
        <w:t>）</w:t>
      </w:r>
      <w:r>
        <w:rPr>
          <w:rFonts w:hint="default" w:ascii="Times New Roman" w:hAnsi="Times New Roman" w:cs="Times New Roman"/>
          <w:color w:val="auto"/>
        </w:rPr>
        <w:t>本次调研过程中，评价小组</w:t>
      </w:r>
      <w:r>
        <w:rPr>
          <w:rFonts w:hint="default" w:ascii="Times New Roman" w:hAnsi="Times New Roman" w:cs="Times New Roman"/>
          <w:color w:val="auto"/>
          <w:lang w:val="en-US" w:eastAsia="zh-CN"/>
        </w:rPr>
        <w:t>向24</w:t>
      </w:r>
      <w:r>
        <w:rPr>
          <w:rFonts w:hint="default" w:ascii="Times New Roman" w:hAnsi="Times New Roman" w:cs="Times New Roman"/>
          <w:color w:val="auto"/>
        </w:rPr>
        <w:t>名受助孤儿</w:t>
      </w:r>
      <w:r>
        <w:rPr>
          <w:rFonts w:hint="default" w:ascii="Times New Roman" w:hAnsi="Times New Roman" w:cs="Times New Roman"/>
          <w:color w:val="auto"/>
          <w:lang w:val="en-US" w:eastAsia="zh-CN"/>
        </w:rPr>
        <w:t>通过</w:t>
      </w:r>
      <w:r>
        <w:rPr>
          <w:rFonts w:hint="default" w:ascii="Times New Roman" w:hAnsi="Times New Roman" w:cs="Times New Roman"/>
          <w:color w:val="auto"/>
        </w:rPr>
        <w:t>线上电子问卷的</w:t>
      </w:r>
      <w:r>
        <w:rPr>
          <w:rFonts w:hint="default" w:ascii="Times New Roman" w:hAnsi="Times New Roman" w:cs="Times New Roman"/>
          <w:color w:val="auto"/>
          <w:lang w:val="en-US" w:eastAsia="zh-CN"/>
        </w:rPr>
        <w:t>形式</w:t>
      </w:r>
      <w:r>
        <w:rPr>
          <w:rFonts w:hint="default" w:ascii="Times New Roman" w:hAnsi="Times New Roman" w:cs="Times New Roman"/>
          <w:color w:val="auto"/>
        </w:rPr>
        <w:t>发放问卷</w:t>
      </w:r>
      <w:r>
        <w:rPr>
          <w:rFonts w:hint="default" w:ascii="Times New Roman" w:hAnsi="Times New Roman" w:cs="Times New Roman"/>
          <w:color w:val="auto"/>
          <w:lang w:val="en-US" w:eastAsia="zh-CN"/>
        </w:rPr>
        <w:t>24</w:t>
      </w:r>
      <w:r>
        <w:rPr>
          <w:rFonts w:hint="default" w:ascii="Times New Roman" w:hAnsi="Times New Roman" w:cs="Times New Roman"/>
          <w:color w:val="auto"/>
        </w:rPr>
        <w:t>份，回收问卷</w:t>
      </w:r>
      <w:r>
        <w:rPr>
          <w:rFonts w:hint="default" w:ascii="Times New Roman" w:hAnsi="Times New Roman" w:cs="Times New Roman"/>
          <w:color w:val="auto"/>
          <w:lang w:val="en-US" w:eastAsia="zh-CN"/>
        </w:rPr>
        <w:t>24</w:t>
      </w:r>
      <w:r>
        <w:rPr>
          <w:rFonts w:hint="default" w:ascii="Times New Roman" w:hAnsi="Times New Roman" w:cs="Times New Roman"/>
          <w:color w:val="auto"/>
        </w:rPr>
        <w:t>份，问卷回收率为100.00%。</w:t>
      </w:r>
    </w:p>
    <w:bookmarkEnd w:id="59"/>
    <w:bookmarkEnd w:id="60"/>
    <w:bookmarkEnd w:id="61"/>
    <w:p w14:paraId="1102A95F">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kern w:val="2"/>
          <w:szCs w:val="21"/>
        </w:rPr>
        <w:t>（</w:t>
      </w:r>
      <w:r>
        <w:rPr>
          <w:rFonts w:hint="default" w:ascii="Times New Roman" w:hAnsi="Times New Roman" w:cs="Times New Roman"/>
          <w:color w:val="auto"/>
          <w:kern w:val="2"/>
          <w:szCs w:val="21"/>
          <w:lang w:val="en-US" w:eastAsia="zh-CN"/>
        </w:rPr>
        <w:t>4</w:t>
      </w:r>
      <w:r>
        <w:rPr>
          <w:rFonts w:hint="default" w:ascii="Times New Roman" w:hAnsi="Times New Roman" w:cs="Times New Roman"/>
          <w:color w:val="auto"/>
          <w:kern w:val="2"/>
          <w:szCs w:val="21"/>
        </w:rPr>
        <w:t>）通过对采集的数据资料进行复核汇总、分类整理和综合分析，按照设立的评价指标、标准、权重、方法实施评价，并形成评价工作底稿</w:t>
      </w:r>
      <w:r>
        <w:rPr>
          <w:rFonts w:hint="default" w:ascii="Times New Roman" w:hAnsi="Times New Roman" w:cs="Times New Roman"/>
          <w:color w:val="auto"/>
        </w:rPr>
        <w:t>。</w:t>
      </w:r>
    </w:p>
    <w:p w14:paraId="3EF024A6">
      <w:pPr>
        <w:pStyle w:val="6"/>
        <w:spacing w:before="0" w:after="0" w:line="360" w:lineRule="auto"/>
        <w:ind w:firstLine="641"/>
        <w:rPr>
          <w:rFonts w:hint="default" w:ascii="Times New Roman" w:hAnsi="Times New Roman" w:cs="Times New Roman"/>
          <w:color w:val="auto"/>
        </w:rPr>
      </w:pPr>
      <w:bookmarkStart w:id="62" w:name="_Toc2618"/>
      <w:r>
        <w:rPr>
          <w:rFonts w:hint="default" w:ascii="Times New Roman" w:hAnsi="Times New Roman" w:cs="Times New Roman"/>
          <w:color w:val="auto"/>
        </w:rPr>
        <w:t>4.撰写评价报告</w:t>
      </w:r>
      <w:bookmarkEnd w:id="62"/>
    </w:p>
    <w:p w14:paraId="2A0DCCC9">
      <w:pPr>
        <w:spacing w:before="0" w:after="0" w:line="360" w:lineRule="auto"/>
        <w:ind w:firstLine="640"/>
        <w:rPr>
          <w:rFonts w:hint="default" w:ascii="Times New Roman" w:hAnsi="Times New Roman" w:cs="Times New Roman"/>
          <w:color w:val="auto"/>
        </w:rPr>
      </w:pPr>
      <w:r>
        <w:rPr>
          <w:rFonts w:hint="default" w:ascii="Times New Roman" w:hAnsi="Times New Roman" w:cs="Times New Roman"/>
          <w:color w:val="auto"/>
          <w:lang w:val="en-US" w:eastAsia="zh-CN"/>
        </w:rPr>
        <w:t>2025</w:t>
      </w:r>
      <w:r>
        <w:rPr>
          <w:rFonts w:hint="default" w:ascii="Times New Roman" w:hAnsi="Times New Roman" w:cs="Times New Roman"/>
          <w:color w:val="auto"/>
        </w:rPr>
        <w:t>年</w:t>
      </w:r>
      <w:r>
        <w:rPr>
          <w:rFonts w:hint="default" w:cs="Times New Roman"/>
          <w:color w:val="auto"/>
          <w:lang w:val="en-US" w:eastAsia="zh-CN"/>
        </w:rPr>
        <w:t>7</w:t>
      </w:r>
      <w:r>
        <w:rPr>
          <w:rFonts w:hint="default" w:ascii="Times New Roman" w:hAnsi="Times New Roman" w:cs="Times New Roman"/>
          <w:color w:val="auto"/>
        </w:rPr>
        <w:t>月</w:t>
      </w:r>
      <w:r>
        <w:rPr>
          <w:rFonts w:hint="default" w:ascii="Times New Roman" w:hAnsi="Times New Roman" w:cs="Times New Roman"/>
          <w:color w:val="auto"/>
          <w:lang w:val="en-US" w:eastAsia="zh-CN"/>
        </w:rPr>
        <w:t>10</w:t>
      </w:r>
      <w:r>
        <w:rPr>
          <w:rFonts w:hint="default" w:ascii="Times New Roman" w:hAnsi="Times New Roman" w:cs="Times New Roman"/>
          <w:color w:val="auto"/>
        </w:rPr>
        <w:t>日</w:t>
      </w:r>
      <w:r>
        <w:rPr>
          <w:rFonts w:hint="default" w:ascii="Times New Roman" w:hAnsi="Times New Roman" w:cs="Times New Roman"/>
          <w:color w:val="auto"/>
          <w:lang w:val="en-US" w:eastAsia="zh-CN"/>
        </w:rPr>
        <w:t>至2025</w:t>
      </w:r>
      <w:r>
        <w:rPr>
          <w:rFonts w:hint="default" w:ascii="Times New Roman" w:hAnsi="Times New Roman" w:cs="Times New Roman"/>
          <w:color w:val="auto"/>
        </w:rPr>
        <w:t>年</w:t>
      </w:r>
      <w:r>
        <w:rPr>
          <w:rFonts w:hint="default" w:ascii="Times New Roman" w:hAnsi="Times New Roman" w:cs="Times New Roman"/>
          <w:color w:val="auto"/>
          <w:lang w:val="en-US" w:eastAsia="zh-CN"/>
        </w:rPr>
        <w:t>7</w:t>
      </w:r>
      <w:r>
        <w:rPr>
          <w:rFonts w:hint="default" w:ascii="Times New Roman" w:hAnsi="Times New Roman" w:cs="Times New Roman"/>
          <w:color w:val="auto"/>
        </w:rPr>
        <w:t>月</w:t>
      </w:r>
      <w:r>
        <w:rPr>
          <w:rFonts w:hint="default" w:ascii="Times New Roman" w:hAnsi="Times New Roman" w:cs="Times New Roman"/>
          <w:color w:val="auto"/>
          <w:lang w:val="en-US" w:eastAsia="zh-CN"/>
        </w:rPr>
        <w:t>30</w:t>
      </w:r>
      <w:r>
        <w:rPr>
          <w:rFonts w:hint="default" w:ascii="Times New Roman" w:hAnsi="Times New Roman" w:cs="Times New Roman"/>
          <w:color w:val="auto"/>
        </w:rPr>
        <w:t>日</w:t>
      </w:r>
      <w:r>
        <w:rPr>
          <w:rFonts w:hint="default" w:ascii="Times New Roman" w:hAnsi="Times New Roman" w:cs="Times New Roman"/>
          <w:color w:val="auto"/>
          <w:lang w:eastAsia="zh-CN"/>
        </w:rPr>
        <w:t>，</w:t>
      </w:r>
      <w:r>
        <w:rPr>
          <w:rFonts w:hint="default" w:ascii="Times New Roman" w:hAnsi="Times New Roman" w:cs="Times New Roman"/>
          <w:color w:val="auto"/>
        </w:rPr>
        <w:t>归集绩效评价工作底稿，起草项目绩效评价报告，经公司内部质量审核通过后向委托人提交绩效评价报告初稿，并报送项目实施单位以及行业主管部门，进行结果反馈，充分交换意见。</w:t>
      </w:r>
    </w:p>
    <w:p w14:paraId="23F4A713">
      <w:pPr>
        <w:pStyle w:val="6"/>
        <w:numPr>
          <w:ilvl w:val="0"/>
          <w:numId w:val="0"/>
        </w:numPr>
        <w:spacing w:before="0" w:after="0" w:line="360" w:lineRule="auto"/>
        <w:ind w:firstLine="422" w:firstLineChars="200"/>
        <w:rPr>
          <w:rFonts w:hint="eastAsia" w:ascii="Times New Roman" w:hAnsi="Times New Roman" w:cs="Times New Roman"/>
          <w:color w:val="auto"/>
          <w:lang w:val="en-US" w:eastAsia="zh-CN"/>
        </w:rPr>
      </w:pPr>
      <w:r>
        <w:rPr>
          <w:rFonts w:hint="eastAsia" w:ascii="Times New Roman" w:hAnsi="Times New Roman" w:cs="Times New Roman" w:eastAsiaTheme="minorEastAsia"/>
          <w:b/>
          <w:bCs/>
          <w:color w:val="auto"/>
          <w:kern w:val="0"/>
          <w:sz w:val="21"/>
          <w:szCs w:val="32"/>
          <w:lang w:val="en-US" w:eastAsia="zh-CN" w:bidi="ar-SA"/>
        </w:rPr>
        <w:t>5.</w:t>
      </w:r>
      <w:r>
        <w:rPr>
          <w:rFonts w:hint="eastAsia" w:ascii="Times New Roman" w:hAnsi="Times New Roman" w:cs="Times New Roman"/>
          <w:color w:val="auto"/>
          <w:lang w:val="en-US" w:eastAsia="zh-CN"/>
        </w:rPr>
        <w:t>报告意见反馈及沟通情况</w:t>
      </w:r>
    </w:p>
    <w:p w14:paraId="2AB31C58">
      <w:pPr>
        <w:pStyle w:val="6"/>
        <w:spacing w:before="0" w:after="0" w:line="360" w:lineRule="auto"/>
        <w:ind w:firstLine="641"/>
        <w:rPr>
          <w:rFonts w:hint="default" w:ascii="Times New Roman" w:hAnsi="Times New Roman" w:cs="Times New Roman" w:eastAsiaTheme="minorEastAsia"/>
          <w:b w:val="0"/>
          <w:bCs w:val="0"/>
          <w:color w:val="auto"/>
          <w:kern w:val="2"/>
          <w:sz w:val="21"/>
          <w:szCs w:val="21"/>
          <w:lang w:val="en-US" w:eastAsia="zh-CN" w:bidi="ar-SA"/>
        </w:rPr>
      </w:pPr>
      <w:r>
        <w:rPr>
          <w:rFonts w:hint="default" w:ascii="Times New Roman" w:hAnsi="Times New Roman" w:cs="Times New Roman" w:eastAsiaTheme="minorEastAsia"/>
          <w:b w:val="0"/>
          <w:bCs w:val="0"/>
          <w:color w:val="auto"/>
          <w:kern w:val="2"/>
          <w:sz w:val="21"/>
          <w:szCs w:val="21"/>
          <w:lang w:val="en-US" w:eastAsia="zh-CN" w:bidi="ar-SA"/>
        </w:rPr>
        <w:t>我单位于202</w:t>
      </w:r>
      <w:r>
        <w:rPr>
          <w:rFonts w:hint="eastAsia" w:ascii="Times New Roman" w:hAnsi="Times New Roman" w:cs="Times New Roman"/>
          <w:b w:val="0"/>
          <w:bCs w:val="0"/>
          <w:color w:val="auto"/>
          <w:kern w:val="2"/>
          <w:sz w:val="21"/>
          <w:szCs w:val="21"/>
          <w:lang w:val="en-US" w:eastAsia="zh-CN" w:bidi="ar-SA"/>
        </w:rPr>
        <w:t>5</w:t>
      </w:r>
      <w:r>
        <w:rPr>
          <w:rFonts w:hint="default" w:ascii="Times New Roman" w:hAnsi="Times New Roman" w:cs="Times New Roman" w:eastAsiaTheme="minorEastAsia"/>
          <w:b w:val="0"/>
          <w:bCs w:val="0"/>
          <w:color w:val="auto"/>
          <w:kern w:val="2"/>
          <w:sz w:val="21"/>
          <w:szCs w:val="21"/>
          <w:lang w:val="en-US" w:eastAsia="zh-CN" w:bidi="ar-SA"/>
        </w:rPr>
        <w:t>年</w:t>
      </w:r>
      <w:r>
        <w:rPr>
          <w:rFonts w:hint="eastAsia" w:ascii="Times New Roman" w:hAnsi="Times New Roman" w:cs="Times New Roman"/>
          <w:b w:val="0"/>
          <w:bCs w:val="0"/>
          <w:color w:val="auto"/>
          <w:kern w:val="2"/>
          <w:sz w:val="21"/>
          <w:szCs w:val="21"/>
          <w:lang w:val="en-US" w:eastAsia="zh-CN" w:bidi="ar-SA"/>
        </w:rPr>
        <w:t>8</w:t>
      </w:r>
      <w:r>
        <w:rPr>
          <w:rFonts w:hint="default" w:ascii="Times New Roman" w:hAnsi="Times New Roman" w:cs="Times New Roman" w:eastAsiaTheme="minorEastAsia"/>
          <w:b w:val="0"/>
          <w:bCs w:val="0"/>
          <w:color w:val="auto"/>
          <w:kern w:val="2"/>
          <w:sz w:val="21"/>
          <w:szCs w:val="21"/>
          <w:lang w:val="en-US" w:eastAsia="zh-CN" w:bidi="ar-SA"/>
        </w:rPr>
        <w:t>月</w:t>
      </w:r>
      <w:r>
        <w:rPr>
          <w:rFonts w:hint="eastAsia" w:ascii="Times New Roman" w:hAnsi="Times New Roman" w:cs="Times New Roman"/>
          <w:b w:val="0"/>
          <w:bCs w:val="0"/>
          <w:color w:val="auto"/>
          <w:kern w:val="2"/>
          <w:sz w:val="21"/>
          <w:szCs w:val="21"/>
          <w:lang w:val="en-US" w:eastAsia="zh-CN" w:bidi="ar-SA"/>
        </w:rPr>
        <w:t>13</w:t>
      </w:r>
      <w:r>
        <w:rPr>
          <w:rFonts w:hint="default" w:ascii="Times New Roman" w:hAnsi="Times New Roman" w:cs="Times New Roman" w:eastAsiaTheme="minorEastAsia"/>
          <w:b w:val="0"/>
          <w:bCs w:val="0"/>
          <w:color w:val="auto"/>
          <w:kern w:val="2"/>
          <w:sz w:val="21"/>
          <w:szCs w:val="21"/>
          <w:lang w:val="en-US" w:eastAsia="zh-CN" w:bidi="ar-SA"/>
        </w:rPr>
        <w:t>日将《绩效评价报告意见反馈表》 《</w:t>
      </w:r>
      <w:r>
        <w:rPr>
          <w:rFonts w:hint="eastAsia" w:ascii="Times New Roman" w:hAnsi="Times New Roman" w:cs="Times New Roman"/>
          <w:b w:val="0"/>
          <w:bCs w:val="0"/>
          <w:color w:val="auto"/>
          <w:kern w:val="2"/>
          <w:sz w:val="21"/>
          <w:szCs w:val="21"/>
          <w:lang w:val="en-US" w:eastAsia="zh-CN" w:bidi="ar-SA"/>
        </w:rPr>
        <w:t>伊宁</w:t>
      </w:r>
      <w:r>
        <w:rPr>
          <w:rFonts w:hint="default" w:ascii="Times New Roman" w:hAnsi="Times New Roman" w:cs="Times New Roman" w:eastAsiaTheme="minorEastAsia"/>
          <w:b w:val="0"/>
          <w:bCs w:val="0"/>
          <w:color w:val="auto"/>
          <w:kern w:val="2"/>
          <w:sz w:val="21"/>
          <w:szCs w:val="21"/>
          <w:lang w:val="en-US" w:eastAsia="zh-CN" w:bidi="ar-SA"/>
        </w:rPr>
        <w:t>县民政局“福彩圆梦 孤儿助学工程”项目绩效评价报告（征求意见稿）》报送至</w:t>
      </w:r>
      <w:r>
        <w:rPr>
          <w:rFonts w:hint="eastAsia" w:ascii="Times New Roman" w:hAnsi="Times New Roman" w:cs="Times New Roman"/>
          <w:b w:val="0"/>
          <w:bCs w:val="0"/>
          <w:color w:val="auto"/>
          <w:kern w:val="2"/>
          <w:sz w:val="21"/>
          <w:szCs w:val="21"/>
          <w:lang w:val="en-US" w:eastAsia="zh-CN" w:bidi="ar-SA"/>
        </w:rPr>
        <w:t>伊宁县</w:t>
      </w:r>
      <w:r>
        <w:rPr>
          <w:rFonts w:hint="default" w:ascii="Times New Roman" w:hAnsi="Times New Roman" w:cs="Times New Roman" w:eastAsiaTheme="minorEastAsia"/>
          <w:b w:val="0"/>
          <w:bCs w:val="0"/>
          <w:color w:val="auto"/>
          <w:kern w:val="2"/>
          <w:sz w:val="21"/>
          <w:szCs w:val="21"/>
          <w:lang w:val="en-US" w:eastAsia="zh-CN" w:bidi="ar-SA"/>
        </w:rPr>
        <w:t>民政局单位。</w:t>
      </w:r>
    </w:p>
    <w:p w14:paraId="68ADDBC0">
      <w:pPr>
        <w:pStyle w:val="6"/>
        <w:spacing w:before="0" w:after="0" w:line="360" w:lineRule="auto"/>
        <w:ind w:firstLine="641"/>
        <w:rPr>
          <w:rFonts w:hint="default" w:ascii="Times New Roman" w:hAnsi="Times New Roman" w:cs="Times New Roman" w:eastAsiaTheme="minorEastAsia"/>
          <w:b w:val="0"/>
          <w:bCs w:val="0"/>
          <w:color w:val="auto"/>
          <w:kern w:val="2"/>
          <w:sz w:val="21"/>
          <w:szCs w:val="21"/>
          <w:lang w:val="en-US" w:eastAsia="zh-CN" w:bidi="ar-SA"/>
        </w:rPr>
      </w:pPr>
      <w:r>
        <w:rPr>
          <w:rFonts w:hint="eastAsia" w:ascii="Times New Roman" w:hAnsi="Times New Roman" w:cs="Times New Roman"/>
          <w:b w:val="0"/>
          <w:bCs w:val="0"/>
          <w:color w:val="auto"/>
          <w:kern w:val="2"/>
          <w:sz w:val="21"/>
          <w:szCs w:val="21"/>
          <w:lang w:val="en-US" w:eastAsia="zh-CN" w:bidi="ar-SA"/>
        </w:rPr>
        <w:t>伊宁县</w:t>
      </w:r>
      <w:r>
        <w:rPr>
          <w:rFonts w:hint="default" w:ascii="Times New Roman" w:hAnsi="Times New Roman" w:cs="Times New Roman" w:eastAsiaTheme="minorEastAsia"/>
          <w:b w:val="0"/>
          <w:bCs w:val="0"/>
          <w:color w:val="auto"/>
          <w:kern w:val="2"/>
          <w:sz w:val="21"/>
          <w:szCs w:val="21"/>
          <w:lang w:val="en-US" w:eastAsia="zh-CN" w:bidi="ar-SA"/>
        </w:rPr>
        <w:t>民政局单位于202</w:t>
      </w:r>
      <w:r>
        <w:rPr>
          <w:rFonts w:hint="eastAsia" w:ascii="Times New Roman" w:hAnsi="Times New Roman" w:cs="Times New Roman"/>
          <w:b w:val="0"/>
          <w:bCs w:val="0"/>
          <w:color w:val="auto"/>
          <w:kern w:val="2"/>
          <w:sz w:val="21"/>
          <w:szCs w:val="21"/>
          <w:lang w:val="en-US" w:eastAsia="zh-CN" w:bidi="ar-SA"/>
        </w:rPr>
        <w:t>5</w:t>
      </w:r>
      <w:r>
        <w:rPr>
          <w:rFonts w:hint="default" w:ascii="Times New Roman" w:hAnsi="Times New Roman" w:cs="Times New Roman" w:eastAsiaTheme="minorEastAsia"/>
          <w:b w:val="0"/>
          <w:bCs w:val="0"/>
          <w:color w:val="auto"/>
          <w:kern w:val="2"/>
          <w:sz w:val="21"/>
          <w:szCs w:val="21"/>
          <w:lang w:val="en-US" w:eastAsia="zh-CN" w:bidi="ar-SA"/>
        </w:rPr>
        <w:t>年</w:t>
      </w:r>
      <w:r>
        <w:rPr>
          <w:rFonts w:hint="eastAsia" w:ascii="Times New Roman" w:hAnsi="Times New Roman" w:cs="Times New Roman"/>
          <w:b w:val="0"/>
          <w:bCs w:val="0"/>
          <w:color w:val="auto"/>
          <w:kern w:val="2"/>
          <w:sz w:val="21"/>
          <w:szCs w:val="21"/>
          <w:lang w:val="en-US" w:eastAsia="zh-CN" w:bidi="ar-SA"/>
        </w:rPr>
        <w:t>8</w:t>
      </w:r>
      <w:r>
        <w:rPr>
          <w:rFonts w:hint="default" w:ascii="Times New Roman" w:hAnsi="Times New Roman" w:cs="Times New Roman" w:eastAsiaTheme="minorEastAsia"/>
          <w:b w:val="0"/>
          <w:bCs w:val="0"/>
          <w:color w:val="auto"/>
          <w:kern w:val="2"/>
          <w:sz w:val="21"/>
          <w:szCs w:val="21"/>
          <w:lang w:val="en-US" w:eastAsia="zh-CN" w:bidi="ar-SA"/>
        </w:rPr>
        <w:t>月</w:t>
      </w:r>
      <w:r>
        <w:rPr>
          <w:rFonts w:hint="eastAsia" w:ascii="Times New Roman" w:hAnsi="Times New Roman" w:cs="Times New Roman"/>
          <w:b w:val="0"/>
          <w:bCs w:val="0"/>
          <w:color w:val="auto"/>
          <w:kern w:val="2"/>
          <w:sz w:val="21"/>
          <w:szCs w:val="21"/>
          <w:lang w:val="en-US" w:eastAsia="zh-CN" w:bidi="ar-SA"/>
        </w:rPr>
        <w:t>14</w:t>
      </w:r>
      <w:r>
        <w:rPr>
          <w:rFonts w:hint="default" w:ascii="Times New Roman" w:hAnsi="Times New Roman" w:cs="Times New Roman" w:eastAsiaTheme="minorEastAsia"/>
          <w:b w:val="0"/>
          <w:bCs w:val="0"/>
          <w:color w:val="auto"/>
          <w:kern w:val="2"/>
          <w:sz w:val="21"/>
          <w:szCs w:val="21"/>
          <w:lang w:val="en-US" w:eastAsia="zh-CN" w:bidi="ar-SA"/>
        </w:rPr>
        <w:t>日反馈绩效评价报告的审核意见，反馈意见为无意见，</w:t>
      </w:r>
      <w:r>
        <w:rPr>
          <w:rFonts w:hint="eastAsia" w:ascii="Times New Roman" w:hAnsi="Times New Roman" w:cs="Times New Roman"/>
          <w:b w:val="0"/>
          <w:bCs w:val="0"/>
          <w:color w:val="auto"/>
          <w:kern w:val="2"/>
          <w:sz w:val="21"/>
          <w:szCs w:val="21"/>
          <w:lang w:val="en-US" w:eastAsia="zh-CN" w:bidi="ar-SA"/>
        </w:rPr>
        <w:t>详</w:t>
      </w:r>
      <w:r>
        <w:rPr>
          <w:rFonts w:hint="default" w:ascii="Times New Roman" w:hAnsi="Times New Roman" w:cs="Times New Roman" w:eastAsiaTheme="minorEastAsia"/>
          <w:b w:val="0"/>
          <w:bCs w:val="0"/>
          <w:color w:val="auto"/>
          <w:kern w:val="2"/>
          <w:sz w:val="21"/>
          <w:szCs w:val="21"/>
          <w:lang w:val="en-US" w:eastAsia="zh-CN" w:bidi="ar-SA"/>
        </w:rPr>
        <w:t>见《绩效评价报告意见反馈表》。</w:t>
      </w:r>
    </w:p>
    <w:p w14:paraId="6848BAA4">
      <w:pPr>
        <w:pStyle w:val="6"/>
        <w:spacing w:before="0" w:after="0" w:line="360" w:lineRule="auto"/>
        <w:ind w:firstLine="641"/>
        <w:rPr>
          <w:rFonts w:hint="default" w:ascii="Times New Roman" w:hAnsi="Times New Roman" w:cs="Times New Roman"/>
          <w:color w:val="auto"/>
        </w:rPr>
      </w:pPr>
      <w:r>
        <w:rPr>
          <w:rFonts w:hint="eastAsia" w:ascii="Times New Roman" w:hAnsi="Times New Roman" w:cs="Times New Roman"/>
          <w:color w:val="auto"/>
          <w:lang w:val="en-US" w:eastAsia="zh-CN"/>
        </w:rPr>
        <w:t>6</w:t>
      </w:r>
      <w:r>
        <w:rPr>
          <w:rFonts w:hint="default" w:ascii="Times New Roman" w:hAnsi="Times New Roman" w:cs="Times New Roman"/>
          <w:color w:val="auto"/>
        </w:rPr>
        <w:t>.资料档案</w:t>
      </w:r>
    </w:p>
    <w:p w14:paraId="7EAFC602">
      <w:pPr>
        <w:spacing w:before="0" w:after="0" w:line="360" w:lineRule="auto"/>
        <w:ind w:firstLine="640"/>
        <w:rPr>
          <w:rFonts w:hint="default" w:ascii="Times New Roman" w:hAnsi="Times New Roman" w:cs="Times New Roman"/>
          <w:color w:val="auto"/>
        </w:rPr>
      </w:pPr>
      <w:r>
        <w:rPr>
          <w:rFonts w:hint="default" w:ascii="Times New Roman" w:hAnsi="Times New Roman" w:cs="Times New Roman"/>
          <w:color w:val="auto"/>
        </w:rPr>
        <w:t>第三方机构将绩效评价过程中收集的全部有效资料，主要包括绩效评价工作方案、绩效指标的佐证材料、各单位反馈意见和建议、实地调研记录、调查问卷、绩效评价报告等一并归档，并按照有关档案管理规定妥善管理。</w:t>
      </w:r>
    </w:p>
    <w:p w14:paraId="06859071">
      <w:pPr>
        <w:pStyle w:val="4"/>
        <w:pageBreakBefore w:val="0"/>
        <w:shd w:val="clear"/>
        <w:kinsoku/>
        <w:wordWrap/>
        <w:overflowPunct/>
        <w:topLinePunct w:val="0"/>
        <w:autoSpaceDE/>
        <w:autoSpaceDN/>
        <w:bidi w:val="0"/>
        <w:snapToGrid w:val="0"/>
        <w:spacing w:line="360" w:lineRule="auto"/>
        <w:ind w:firstLine="482"/>
        <w:rPr>
          <w:rFonts w:hint="default" w:ascii="Times New Roman" w:hAnsi="Times New Roman" w:cs="Times New Roman"/>
          <w:color w:val="auto"/>
        </w:rPr>
      </w:pPr>
      <w:bookmarkStart w:id="63" w:name="_Toc22664"/>
      <w:r>
        <w:rPr>
          <w:rFonts w:hint="default" w:ascii="Times New Roman" w:hAnsi="Times New Roman" w:cs="Times New Roman"/>
          <w:color w:val="auto"/>
        </w:rPr>
        <w:t>四、综合评价情况及评价结论</w:t>
      </w:r>
      <w:bookmarkEnd w:id="57"/>
      <w:bookmarkEnd w:id="63"/>
    </w:p>
    <w:p w14:paraId="791D307A">
      <w:pPr>
        <w:pStyle w:val="5"/>
        <w:pageBreakBefore w:val="0"/>
        <w:shd w:val="clear"/>
        <w:kinsoku/>
        <w:wordWrap/>
        <w:overflowPunct/>
        <w:topLinePunct w:val="0"/>
        <w:autoSpaceDE/>
        <w:autoSpaceDN/>
        <w:bidi w:val="0"/>
        <w:snapToGrid w:val="0"/>
        <w:spacing w:line="360" w:lineRule="auto"/>
        <w:ind w:firstLine="482"/>
        <w:rPr>
          <w:rFonts w:hint="default" w:ascii="Times New Roman" w:hAnsi="Times New Roman" w:cs="Times New Roman"/>
          <w:color w:val="auto"/>
          <w:lang w:eastAsia="zh-TW"/>
        </w:rPr>
      </w:pPr>
      <w:bookmarkStart w:id="64" w:name="_Toc6982"/>
      <w:bookmarkStart w:id="65" w:name="_Toc535"/>
      <w:bookmarkStart w:id="66" w:name="_Toc22544"/>
      <w:r>
        <w:rPr>
          <w:rFonts w:hint="default" w:ascii="Times New Roman" w:hAnsi="Times New Roman" w:cs="Times New Roman"/>
          <w:color w:val="auto"/>
        </w:rPr>
        <w:t>（一）评价得分情况</w:t>
      </w:r>
      <w:bookmarkEnd w:id="64"/>
    </w:p>
    <w:p w14:paraId="0F118D29">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rPr>
      </w:pPr>
      <w:r>
        <w:rPr>
          <w:rFonts w:hint="default" w:ascii="Times New Roman" w:hAnsi="Times New Roman" w:cs="Times New Roman"/>
          <w:color w:val="auto"/>
          <w:lang w:val="zh-TW" w:eastAsia="zh-TW"/>
        </w:rPr>
        <w:t>通过调研、数据分析、访谈等方式，根据绩效评价方案确定的指标体系及评分标准，对“</w:t>
      </w:r>
      <w:r>
        <w:rPr>
          <w:rFonts w:hint="default" w:ascii="Times New Roman" w:hAnsi="Times New Roman" w:cs="Times New Roman"/>
          <w:color w:val="auto"/>
          <w:lang w:eastAsia="zh-CN"/>
        </w:rPr>
        <w:t>伊宁县‘福彩圆梦</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lang w:eastAsia="zh-CN"/>
        </w:rPr>
        <w:t>孤儿助学工程”</w:t>
      </w:r>
      <w:r>
        <w:rPr>
          <w:rFonts w:hint="default" w:ascii="Times New Roman" w:hAnsi="Times New Roman" w:cs="Times New Roman"/>
          <w:color w:val="auto"/>
        </w:rPr>
        <w:t>项目</w:t>
      </w:r>
      <w:r>
        <w:rPr>
          <w:rFonts w:hint="default" w:ascii="Times New Roman" w:hAnsi="Times New Roman" w:cs="Times New Roman"/>
          <w:color w:val="auto"/>
          <w:lang w:val="zh-TW" w:eastAsia="zh-CN"/>
        </w:rPr>
        <w:t>’</w:t>
      </w:r>
      <w:r>
        <w:rPr>
          <w:rFonts w:hint="default" w:ascii="Times New Roman" w:hAnsi="Times New Roman" w:cs="Times New Roman"/>
          <w:color w:val="auto"/>
          <w:lang w:val="zh-TW" w:eastAsia="zh-TW"/>
        </w:rPr>
        <w:t>绩效进行客观评价，经评价分析，该项目最终评分结果为</w:t>
      </w:r>
      <w:r>
        <w:rPr>
          <w:rFonts w:hint="eastAsia" w:cs="Times New Roman"/>
          <w:color w:val="auto"/>
          <w:sz w:val="21"/>
          <w:szCs w:val="21"/>
          <w:highlight w:val="none"/>
          <w:lang w:val="en-US" w:eastAsia="zh-CN"/>
        </w:rPr>
        <w:t>87.87</w:t>
      </w:r>
      <w:r>
        <w:rPr>
          <w:rFonts w:hint="default" w:ascii="Times New Roman" w:hAnsi="Times New Roman" w:cs="Times New Roman"/>
          <w:color w:val="auto"/>
          <w:lang w:val="zh-TW" w:eastAsia="zh-TW"/>
        </w:rPr>
        <w:t>分，绩效评级为“</w:t>
      </w:r>
      <w:r>
        <w:rPr>
          <w:rFonts w:hint="default" w:ascii="Times New Roman" w:hAnsi="Times New Roman" w:cs="Times New Roman"/>
          <w:color w:val="auto"/>
          <w:lang w:val="en-US" w:eastAsia="zh-CN"/>
        </w:rPr>
        <w:t>良</w:t>
      </w:r>
      <w:r>
        <w:rPr>
          <w:rFonts w:hint="default" w:ascii="Times New Roman" w:hAnsi="Times New Roman" w:cs="Times New Roman"/>
          <w:color w:val="auto"/>
          <w:lang w:val="zh-TW" w:eastAsia="zh-TW"/>
        </w:rPr>
        <w:t>”。各部分权重和绩效分值如下表：</w:t>
      </w:r>
    </w:p>
    <w:p w14:paraId="78F4CD0A">
      <w:pPr>
        <w:pageBreakBefore w:val="0"/>
        <w:kinsoku/>
        <w:wordWrap/>
        <w:overflowPunct/>
        <w:topLinePunct w:val="0"/>
        <w:autoSpaceDE/>
        <w:autoSpaceDN/>
        <w:bidi w:val="0"/>
        <w:snapToGrid w:val="0"/>
        <w:spacing w:line="360" w:lineRule="auto"/>
        <w:ind w:firstLine="0" w:firstLineChars="0"/>
        <w:jc w:val="center"/>
        <w:rPr>
          <w:rFonts w:hint="default" w:ascii="Times New Roman" w:hAnsi="Times New Roman" w:cs="Times New Roman" w:eastAsiaTheme="minorEastAsia"/>
          <w:b/>
          <w:bCs/>
          <w:color w:val="auto"/>
        </w:rPr>
      </w:pPr>
      <w:r>
        <w:rPr>
          <w:rFonts w:hint="default" w:ascii="Times New Roman" w:hAnsi="Times New Roman" w:cs="Times New Roman" w:eastAsiaTheme="minorEastAsia"/>
          <w:b/>
          <w:bCs/>
          <w:color w:val="auto"/>
          <w:lang w:val="zh-TW" w:eastAsia="zh-TW"/>
        </w:rPr>
        <w:t>表</w:t>
      </w:r>
      <w:r>
        <w:rPr>
          <w:rFonts w:hint="default" w:ascii="Times New Roman" w:hAnsi="Times New Roman" w:cs="Times New Roman" w:eastAsiaTheme="minorEastAsia"/>
          <w:b/>
          <w:bCs/>
          <w:color w:val="auto"/>
          <w:lang w:val="en-US" w:eastAsia="zh-CN"/>
        </w:rPr>
        <w:t>4</w:t>
      </w:r>
      <w:r>
        <w:rPr>
          <w:rFonts w:hint="default" w:ascii="Times New Roman" w:hAnsi="Times New Roman" w:cs="Times New Roman" w:eastAsiaTheme="minorEastAsia"/>
          <w:b/>
          <w:bCs/>
          <w:color w:val="auto"/>
          <w:lang w:val="zh-TW" w:eastAsia="zh-TW"/>
        </w:rPr>
        <w:t>-1</w:t>
      </w:r>
      <w:r>
        <w:rPr>
          <w:rFonts w:hint="default" w:ascii="Times New Roman" w:hAnsi="Times New Roman" w:cs="Times New Roman" w:eastAsiaTheme="minorEastAsia"/>
          <w:b/>
          <w:bCs/>
          <w:color w:val="auto"/>
          <w:lang w:val="zh-TW"/>
        </w:rPr>
        <w:t>：</w:t>
      </w:r>
      <w:r>
        <w:rPr>
          <w:rFonts w:hint="default" w:ascii="Times New Roman" w:hAnsi="Times New Roman" w:cs="Times New Roman"/>
          <w:b/>
          <w:bCs/>
          <w:color w:val="auto"/>
          <w:lang w:eastAsia="zh-CN"/>
        </w:rPr>
        <w:t>伊宁县</w:t>
      </w:r>
      <w:r>
        <w:rPr>
          <w:rFonts w:hint="default" w:ascii="Times New Roman" w:hAnsi="Times New Roman" w:cs="Times New Roman"/>
          <w:b/>
          <w:bCs/>
          <w:color w:val="auto"/>
        </w:rPr>
        <w:t>“</w:t>
      </w:r>
      <w:r>
        <w:rPr>
          <w:rFonts w:hint="default" w:ascii="Times New Roman" w:hAnsi="Times New Roman" w:cs="Times New Roman"/>
          <w:b/>
          <w:bCs/>
          <w:color w:val="auto"/>
          <w:lang w:eastAsia="zh-CN"/>
        </w:rPr>
        <w:t>福彩圆梦</w:t>
      </w:r>
      <w:r>
        <w:rPr>
          <w:rFonts w:hint="default" w:ascii="Times New Roman" w:hAnsi="Times New Roman" w:cs="Times New Roman"/>
          <w:b/>
          <w:bCs/>
          <w:color w:val="auto"/>
          <w:lang w:val="en-US" w:eastAsia="zh-CN"/>
        </w:rPr>
        <w:t xml:space="preserve"> </w:t>
      </w:r>
      <w:r>
        <w:rPr>
          <w:rFonts w:hint="default" w:ascii="Times New Roman" w:hAnsi="Times New Roman" w:cs="Times New Roman"/>
          <w:b/>
          <w:bCs/>
          <w:color w:val="auto"/>
          <w:lang w:eastAsia="zh-CN"/>
        </w:rPr>
        <w:t>孤儿助学工程”</w:t>
      </w:r>
      <w:r>
        <w:rPr>
          <w:rFonts w:hint="default" w:ascii="Times New Roman" w:hAnsi="Times New Roman" w:cs="Times New Roman"/>
          <w:b/>
          <w:bCs/>
          <w:color w:val="auto"/>
          <w:lang w:val="en-US" w:eastAsia="zh-CN"/>
        </w:rPr>
        <w:t>项目</w:t>
      </w:r>
      <w:r>
        <w:rPr>
          <w:rFonts w:hint="default" w:ascii="Times New Roman" w:hAnsi="Times New Roman" w:cs="Times New Roman" w:eastAsiaTheme="minorEastAsia"/>
          <w:b/>
          <w:bCs/>
          <w:color w:val="auto"/>
          <w:lang w:val="zh-TW"/>
        </w:rPr>
        <w:t>得分表</w:t>
      </w:r>
    </w:p>
    <w:tbl>
      <w:tblPr>
        <w:tblStyle w:val="18"/>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883"/>
        <w:gridCol w:w="1613"/>
        <w:gridCol w:w="1613"/>
        <w:gridCol w:w="1613"/>
        <w:gridCol w:w="1613"/>
        <w:gridCol w:w="1128"/>
      </w:tblGrid>
      <w:tr w14:paraId="1BDC92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21"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69F2A61">
            <w:pPr>
              <w:pStyle w:val="29"/>
              <w:pageBreakBefore w:val="0"/>
              <w:kinsoku/>
              <w:wordWrap/>
              <w:overflowPunct/>
              <w:topLinePunct w:val="0"/>
              <w:autoSpaceDE/>
              <w:autoSpaceDN/>
              <w:bidi w:val="0"/>
              <w:snapToGrid w:val="0"/>
              <w:spacing w:before="0" w:after="0" w:line="240" w:lineRule="auto"/>
              <w:jc w:val="center"/>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lang w:val="zh-TW" w:eastAsia="zh-TW"/>
              </w:rPr>
              <w:t>指标</w:t>
            </w:r>
          </w:p>
        </w:tc>
        <w:tc>
          <w:tcPr>
            <w:tcW w:w="952"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6A0A00E">
            <w:pPr>
              <w:pStyle w:val="29"/>
              <w:pageBreakBefore w:val="0"/>
              <w:kinsoku/>
              <w:wordWrap/>
              <w:overflowPunct/>
              <w:topLinePunct w:val="0"/>
              <w:autoSpaceDE/>
              <w:autoSpaceDN/>
              <w:bidi w:val="0"/>
              <w:snapToGrid w:val="0"/>
              <w:spacing w:before="0" w:after="0" w:line="240" w:lineRule="auto"/>
              <w:jc w:val="center"/>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lang w:val="zh-TW" w:eastAsia="zh-TW"/>
              </w:rPr>
              <w:t>项目决策类</w:t>
            </w:r>
          </w:p>
        </w:tc>
        <w:tc>
          <w:tcPr>
            <w:tcW w:w="952"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62A5BF2">
            <w:pPr>
              <w:pStyle w:val="29"/>
              <w:pageBreakBefore w:val="0"/>
              <w:kinsoku/>
              <w:wordWrap/>
              <w:overflowPunct/>
              <w:topLinePunct w:val="0"/>
              <w:autoSpaceDE/>
              <w:autoSpaceDN/>
              <w:bidi w:val="0"/>
              <w:snapToGrid w:val="0"/>
              <w:spacing w:before="0" w:after="0" w:line="240" w:lineRule="auto"/>
              <w:jc w:val="center"/>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lang w:val="zh-TW" w:eastAsia="zh-TW"/>
              </w:rPr>
              <w:t>项目</w:t>
            </w:r>
            <w:r>
              <w:rPr>
                <w:rFonts w:hint="eastAsia" w:asciiTheme="minorEastAsia" w:hAnsiTheme="minorEastAsia" w:eastAsiaTheme="minorEastAsia" w:cstheme="minorEastAsia"/>
                <w:b/>
                <w:bCs/>
                <w:color w:val="auto"/>
                <w:sz w:val="21"/>
                <w:szCs w:val="21"/>
              </w:rPr>
              <w:t>过程</w:t>
            </w:r>
            <w:r>
              <w:rPr>
                <w:rFonts w:hint="eastAsia" w:asciiTheme="minorEastAsia" w:hAnsiTheme="minorEastAsia" w:eastAsiaTheme="minorEastAsia" w:cstheme="minorEastAsia"/>
                <w:b/>
                <w:bCs/>
                <w:color w:val="auto"/>
                <w:sz w:val="21"/>
                <w:szCs w:val="21"/>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8A7DF92">
            <w:pPr>
              <w:pStyle w:val="29"/>
              <w:pageBreakBefore w:val="0"/>
              <w:kinsoku/>
              <w:wordWrap/>
              <w:overflowPunct/>
              <w:topLinePunct w:val="0"/>
              <w:autoSpaceDE/>
              <w:autoSpaceDN/>
              <w:bidi w:val="0"/>
              <w:snapToGrid w:val="0"/>
              <w:spacing w:before="0" w:after="0" w:line="240" w:lineRule="auto"/>
              <w:jc w:val="center"/>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lang w:val="zh-TW" w:eastAsia="zh-TW"/>
              </w:rPr>
              <w:t>项目</w:t>
            </w:r>
            <w:r>
              <w:rPr>
                <w:rFonts w:hint="eastAsia" w:asciiTheme="minorEastAsia" w:hAnsiTheme="minorEastAsia" w:eastAsiaTheme="minorEastAsia" w:cstheme="minorEastAsia"/>
                <w:b/>
                <w:bCs/>
                <w:color w:val="auto"/>
                <w:sz w:val="21"/>
                <w:szCs w:val="21"/>
              </w:rPr>
              <w:t>产出</w:t>
            </w:r>
            <w:r>
              <w:rPr>
                <w:rFonts w:hint="eastAsia" w:asciiTheme="minorEastAsia" w:hAnsiTheme="minorEastAsia" w:eastAsiaTheme="minorEastAsia" w:cstheme="minorEastAsia"/>
                <w:b/>
                <w:bCs/>
                <w:color w:val="auto"/>
                <w:sz w:val="21"/>
                <w:szCs w:val="21"/>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6D47CB02">
            <w:pPr>
              <w:pStyle w:val="29"/>
              <w:pageBreakBefore w:val="0"/>
              <w:kinsoku/>
              <w:wordWrap/>
              <w:overflowPunct/>
              <w:topLinePunct w:val="0"/>
              <w:autoSpaceDE/>
              <w:autoSpaceDN/>
              <w:bidi w:val="0"/>
              <w:snapToGrid w:val="0"/>
              <w:spacing w:before="0" w:after="0" w:line="240" w:lineRule="auto"/>
              <w:jc w:val="center"/>
              <w:rPr>
                <w:rFonts w:hint="eastAsia" w:asciiTheme="minorEastAsia" w:hAnsiTheme="minorEastAsia" w:eastAsiaTheme="minorEastAsia" w:cstheme="minorEastAsia"/>
                <w:b/>
                <w:bCs/>
                <w:color w:val="auto"/>
                <w:sz w:val="21"/>
                <w:szCs w:val="21"/>
                <w:lang w:val="zh-TW" w:eastAsia="zh-TW"/>
              </w:rPr>
            </w:pPr>
            <w:r>
              <w:rPr>
                <w:rFonts w:hint="eastAsia" w:asciiTheme="minorEastAsia" w:hAnsiTheme="minorEastAsia" w:eastAsiaTheme="minorEastAsia" w:cstheme="minorEastAsia"/>
                <w:b/>
                <w:bCs/>
                <w:color w:val="auto"/>
                <w:sz w:val="21"/>
                <w:szCs w:val="21"/>
                <w:lang w:val="zh-TW" w:eastAsia="zh-TW"/>
              </w:rPr>
              <w:t>项目</w:t>
            </w:r>
            <w:r>
              <w:rPr>
                <w:rFonts w:hint="eastAsia" w:asciiTheme="minorEastAsia" w:hAnsiTheme="minorEastAsia" w:eastAsiaTheme="minorEastAsia" w:cstheme="minorEastAsia"/>
                <w:b/>
                <w:bCs/>
                <w:color w:val="auto"/>
                <w:sz w:val="21"/>
                <w:szCs w:val="21"/>
              </w:rPr>
              <w:t>效益</w:t>
            </w:r>
            <w:r>
              <w:rPr>
                <w:rFonts w:hint="eastAsia" w:asciiTheme="minorEastAsia" w:hAnsiTheme="minorEastAsia" w:eastAsiaTheme="minorEastAsia" w:cstheme="minorEastAsia"/>
                <w:b/>
                <w:bCs/>
                <w:color w:val="auto"/>
                <w:sz w:val="21"/>
                <w:szCs w:val="21"/>
                <w:lang w:val="zh-TW" w:eastAsia="zh-TW"/>
              </w:rPr>
              <w:t>类</w:t>
            </w:r>
          </w:p>
        </w:tc>
        <w:tc>
          <w:tcPr>
            <w:tcW w:w="666"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A9C9DA8">
            <w:pPr>
              <w:pStyle w:val="29"/>
              <w:pageBreakBefore w:val="0"/>
              <w:kinsoku/>
              <w:wordWrap/>
              <w:overflowPunct/>
              <w:topLinePunct w:val="0"/>
              <w:autoSpaceDE/>
              <w:autoSpaceDN/>
              <w:bidi w:val="0"/>
              <w:snapToGrid w:val="0"/>
              <w:spacing w:before="0" w:after="0" w:line="240" w:lineRule="auto"/>
              <w:jc w:val="center"/>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lang w:val="zh-TW" w:eastAsia="zh-TW"/>
              </w:rPr>
              <w:t>合计分值</w:t>
            </w:r>
          </w:p>
        </w:tc>
      </w:tr>
      <w:tr w14:paraId="03B753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21"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F60D4E4">
            <w:pPr>
              <w:pStyle w:val="29"/>
              <w:pageBreakBefore w:val="0"/>
              <w:kinsoku/>
              <w:wordWrap/>
              <w:overflowPunct/>
              <w:topLinePunct w:val="0"/>
              <w:autoSpaceDE/>
              <w:autoSpaceDN/>
              <w:bidi w:val="0"/>
              <w:snapToGrid w:val="0"/>
              <w:spacing w:before="0" w:after="0" w:line="240" w:lineRule="auto"/>
              <w:jc w:val="center"/>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lang w:val="zh-TW" w:eastAsia="zh-TW"/>
              </w:rPr>
              <w:t>权重</w:t>
            </w:r>
          </w:p>
        </w:tc>
        <w:tc>
          <w:tcPr>
            <w:tcW w:w="952"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8D91335">
            <w:pPr>
              <w:pStyle w:val="29"/>
              <w:snapToGrid w:val="0"/>
              <w:spacing w:before="0" w:after="0" w:line="240" w:lineRule="auto"/>
              <w:jc w:val="center"/>
              <w:rPr>
                <w:rFonts w:ascii="Times New Roman" w:hAnsi="Times New Roman" w:eastAsia="宋体" w:cs="Times New Roman"/>
                <w:color w:val="auto"/>
                <w:sz w:val="21"/>
                <w:szCs w:val="21"/>
                <w:highlight w:val="none"/>
              </w:rPr>
            </w:pPr>
            <w:r>
              <w:rPr>
                <w:rFonts w:hint="default" w:ascii="Times New Roman" w:hAnsi="Times New Roman" w:cs="Times New Roman" w:eastAsiaTheme="minorEastAsia"/>
                <w:color w:val="auto"/>
                <w:sz w:val="21"/>
                <w:szCs w:val="21"/>
                <w:highlight w:val="none"/>
              </w:rPr>
              <w:t xml:space="preserve">10.00 </w:t>
            </w:r>
          </w:p>
        </w:tc>
        <w:tc>
          <w:tcPr>
            <w:tcW w:w="952"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1093B50">
            <w:pPr>
              <w:pStyle w:val="29"/>
              <w:snapToGrid w:val="0"/>
              <w:spacing w:before="0" w:after="0" w:line="240" w:lineRule="auto"/>
              <w:jc w:val="center"/>
              <w:rPr>
                <w:rFonts w:ascii="Times New Roman" w:hAnsi="Times New Roman" w:eastAsia="宋体" w:cs="Times New Roman"/>
                <w:color w:val="auto"/>
                <w:sz w:val="21"/>
                <w:szCs w:val="21"/>
                <w:highlight w:val="none"/>
              </w:rPr>
            </w:pPr>
            <w:r>
              <w:rPr>
                <w:rFonts w:hint="default" w:ascii="Times New Roman" w:hAnsi="Times New Roman" w:cs="Times New Roman" w:eastAsiaTheme="minorEastAsia"/>
                <w:color w:val="auto"/>
                <w:sz w:val="21"/>
                <w:szCs w:val="21"/>
                <w:highlight w:val="none"/>
              </w:rPr>
              <w:t xml:space="preserve">25.00 </w:t>
            </w:r>
          </w:p>
        </w:tc>
        <w:tc>
          <w:tcPr>
            <w:tcW w:w="952"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F824784">
            <w:pPr>
              <w:pStyle w:val="29"/>
              <w:snapToGrid w:val="0"/>
              <w:spacing w:before="0" w:after="0" w:line="240" w:lineRule="auto"/>
              <w:jc w:val="center"/>
              <w:rPr>
                <w:rFonts w:ascii="Times New Roman" w:hAnsi="Times New Roman" w:eastAsia="宋体" w:cs="Times New Roman"/>
                <w:color w:val="auto"/>
                <w:sz w:val="21"/>
                <w:szCs w:val="21"/>
                <w:highlight w:val="none"/>
              </w:rPr>
            </w:pPr>
            <w:r>
              <w:rPr>
                <w:rFonts w:hint="default" w:ascii="Times New Roman" w:hAnsi="Times New Roman" w:cs="Times New Roman" w:eastAsiaTheme="minorEastAsia"/>
                <w:color w:val="auto"/>
                <w:sz w:val="21"/>
                <w:szCs w:val="21"/>
                <w:highlight w:val="none"/>
              </w:rPr>
              <w:t xml:space="preserve">30.00 </w:t>
            </w:r>
          </w:p>
        </w:tc>
        <w:tc>
          <w:tcPr>
            <w:tcW w:w="952"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56DC0530">
            <w:pPr>
              <w:pStyle w:val="29"/>
              <w:snapToGrid w:val="0"/>
              <w:spacing w:before="0" w:after="0" w:line="240" w:lineRule="auto"/>
              <w:jc w:val="center"/>
              <w:rPr>
                <w:rFonts w:ascii="Times New Roman" w:hAnsi="Times New Roman" w:eastAsia="宋体" w:cs="Times New Roman"/>
                <w:color w:val="auto"/>
                <w:sz w:val="21"/>
                <w:szCs w:val="21"/>
                <w:highlight w:val="none"/>
              </w:rPr>
            </w:pPr>
            <w:r>
              <w:rPr>
                <w:rFonts w:hint="default" w:ascii="Times New Roman" w:hAnsi="Times New Roman" w:cs="Times New Roman" w:eastAsiaTheme="minorEastAsia"/>
                <w:color w:val="auto"/>
                <w:sz w:val="21"/>
                <w:szCs w:val="21"/>
                <w:highlight w:val="none"/>
              </w:rPr>
              <w:t xml:space="preserve">35.00 </w:t>
            </w:r>
          </w:p>
        </w:tc>
        <w:tc>
          <w:tcPr>
            <w:tcW w:w="666"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E7615E5">
            <w:pPr>
              <w:pStyle w:val="29"/>
              <w:snapToGrid w:val="0"/>
              <w:spacing w:before="0" w:after="0" w:line="240" w:lineRule="auto"/>
              <w:jc w:val="center"/>
              <w:rPr>
                <w:rFonts w:ascii="Times New Roman" w:hAnsi="Times New Roman" w:eastAsia="宋体" w:cs="Times New Roman"/>
                <w:color w:val="auto"/>
                <w:sz w:val="21"/>
                <w:szCs w:val="21"/>
                <w:highlight w:val="none"/>
              </w:rPr>
            </w:pPr>
            <w:r>
              <w:rPr>
                <w:rFonts w:hint="default" w:ascii="Times New Roman" w:hAnsi="Times New Roman" w:cs="Times New Roman" w:eastAsiaTheme="minorEastAsia"/>
                <w:color w:val="auto"/>
                <w:sz w:val="21"/>
                <w:szCs w:val="21"/>
                <w:highlight w:val="none"/>
              </w:rPr>
              <w:t xml:space="preserve">100.00 </w:t>
            </w:r>
          </w:p>
        </w:tc>
      </w:tr>
      <w:tr w14:paraId="681336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21"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CE266FA">
            <w:pPr>
              <w:pStyle w:val="29"/>
              <w:pageBreakBefore w:val="0"/>
              <w:kinsoku/>
              <w:wordWrap/>
              <w:overflowPunct/>
              <w:topLinePunct w:val="0"/>
              <w:autoSpaceDE/>
              <w:autoSpaceDN/>
              <w:bidi w:val="0"/>
              <w:snapToGrid w:val="0"/>
              <w:spacing w:before="0" w:after="0" w:line="240" w:lineRule="auto"/>
              <w:jc w:val="center"/>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lang w:val="zh-TW" w:eastAsia="zh-TW"/>
              </w:rPr>
              <w:t>得分</w:t>
            </w:r>
          </w:p>
        </w:tc>
        <w:tc>
          <w:tcPr>
            <w:tcW w:w="16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59A656F8">
            <w:pPr>
              <w:pStyle w:val="29"/>
              <w:snapToGrid w:val="0"/>
              <w:spacing w:before="0" w:after="0" w:line="240" w:lineRule="auto"/>
              <w:jc w:val="center"/>
              <w:rPr>
                <w:rFonts w:ascii="Times New Roman" w:hAnsi="Times New Roman" w:eastAsia="宋体" w:cs="Times New Roman"/>
                <w:color w:val="auto"/>
                <w:sz w:val="21"/>
                <w:szCs w:val="21"/>
                <w:highlight w:val="none"/>
              </w:rPr>
            </w:pPr>
            <w:r>
              <w:rPr>
                <w:rFonts w:hint="default" w:ascii="Times New Roman" w:hAnsi="Times New Roman" w:cs="Times New Roman" w:eastAsiaTheme="minorEastAsia"/>
                <w:color w:val="auto"/>
                <w:sz w:val="21"/>
                <w:szCs w:val="21"/>
                <w:highlight w:val="none"/>
              </w:rPr>
              <w:t>10.00</w:t>
            </w:r>
          </w:p>
        </w:tc>
        <w:tc>
          <w:tcPr>
            <w:tcW w:w="16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000DDDAE">
            <w:pPr>
              <w:pStyle w:val="29"/>
              <w:snapToGrid w:val="0"/>
              <w:spacing w:before="0" w:after="0" w:line="240" w:lineRule="auto"/>
              <w:jc w:val="center"/>
              <w:rPr>
                <w:rFonts w:ascii="Times New Roman" w:hAnsi="Times New Roman" w:eastAsia="宋体" w:cs="Times New Roman"/>
                <w:color w:val="auto"/>
                <w:sz w:val="21"/>
                <w:szCs w:val="21"/>
                <w:highlight w:val="none"/>
              </w:rPr>
            </w:pPr>
            <w:r>
              <w:rPr>
                <w:rFonts w:hint="eastAsia" w:hAnsi="Times New Roman" w:cs="Times New Roman" w:eastAsiaTheme="minorEastAsia"/>
                <w:color w:val="auto"/>
                <w:sz w:val="21"/>
                <w:szCs w:val="21"/>
                <w:highlight w:val="none"/>
                <w:lang w:val="en-US" w:eastAsia="zh-CN"/>
              </w:rPr>
              <w:t>18.50</w:t>
            </w:r>
          </w:p>
        </w:tc>
        <w:tc>
          <w:tcPr>
            <w:tcW w:w="16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5970A048">
            <w:pPr>
              <w:pStyle w:val="29"/>
              <w:snapToGrid w:val="0"/>
              <w:spacing w:before="0" w:after="0" w:line="240" w:lineRule="auto"/>
              <w:jc w:val="center"/>
              <w:rPr>
                <w:rFonts w:ascii="Times New Roman" w:hAnsi="Times New Roman" w:eastAsia="宋体" w:cs="Times New Roman"/>
                <w:color w:val="auto"/>
                <w:sz w:val="21"/>
                <w:szCs w:val="21"/>
                <w:highlight w:val="none"/>
              </w:rPr>
            </w:pPr>
            <w:r>
              <w:rPr>
                <w:rFonts w:hint="eastAsia" w:hAnsi="Times New Roman" w:cs="Times New Roman" w:eastAsiaTheme="minorEastAsia"/>
                <w:color w:val="auto"/>
                <w:sz w:val="21"/>
                <w:szCs w:val="21"/>
                <w:highlight w:val="none"/>
                <w:lang w:val="en-US" w:eastAsia="zh-CN"/>
              </w:rPr>
              <w:t>24.37</w:t>
            </w:r>
            <w:r>
              <w:rPr>
                <w:rFonts w:hint="default" w:ascii="Times New Roman" w:hAnsi="Times New Roman" w:cs="Times New Roman" w:eastAsiaTheme="minorEastAsia"/>
                <w:color w:val="auto"/>
                <w:sz w:val="21"/>
                <w:szCs w:val="21"/>
                <w:highlight w:val="none"/>
              </w:rPr>
              <w:t xml:space="preserve"> </w:t>
            </w:r>
          </w:p>
        </w:tc>
        <w:tc>
          <w:tcPr>
            <w:tcW w:w="16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EB027A8">
            <w:pPr>
              <w:pStyle w:val="29"/>
              <w:snapToGrid w:val="0"/>
              <w:spacing w:before="0" w:after="0" w:line="240" w:lineRule="auto"/>
              <w:jc w:val="center"/>
              <w:rPr>
                <w:rFonts w:ascii="Times New Roman" w:hAnsi="Times New Roman" w:eastAsia="宋体" w:cs="Times New Roman"/>
                <w:color w:val="auto"/>
                <w:sz w:val="21"/>
                <w:szCs w:val="21"/>
                <w:highlight w:val="none"/>
              </w:rPr>
            </w:pPr>
            <w:r>
              <w:rPr>
                <w:rFonts w:hint="default" w:ascii="Times New Roman" w:hAnsi="Times New Roman" w:cs="Times New Roman" w:eastAsiaTheme="minorEastAsia"/>
                <w:color w:val="auto"/>
                <w:sz w:val="21"/>
                <w:szCs w:val="21"/>
                <w:highlight w:val="none"/>
              </w:rPr>
              <w:t xml:space="preserve">35.00 </w:t>
            </w:r>
          </w:p>
        </w:tc>
        <w:tc>
          <w:tcPr>
            <w:tcW w:w="11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B14BECC">
            <w:pPr>
              <w:pStyle w:val="29"/>
              <w:snapToGrid w:val="0"/>
              <w:spacing w:before="0" w:after="0" w:line="240" w:lineRule="auto"/>
              <w:jc w:val="center"/>
              <w:rPr>
                <w:rFonts w:ascii="Times New Roman" w:hAnsi="Times New Roman" w:eastAsia="宋体" w:cs="Times New Roman"/>
                <w:color w:val="auto"/>
                <w:sz w:val="21"/>
                <w:szCs w:val="21"/>
                <w:highlight w:val="none"/>
              </w:rPr>
            </w:pPr>
            <w:r>
              <w:rPr>
                <w:rFonts w:hint="eastAsia" w:hAnsi="Times New Roman" w:cs="Times New Roman" w:eastAsiaTheme="minorEastAsia"/>
                <w:color w:val="auto"/>
                <w:sz w:val="21"/>
                <w:szCs w:val="21"/>
                <w:highlight w:val="none"/>
                <w:lang w:val="en-US" w:eastAsia="zh-CN"/>
              </w:rPr>
              <w:t>87.87</w:t>
            </w:r>
          </w:p>
        </w:tc>
      </w:tr>
      <w:tr w14:paraId="25FBEF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21"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412BF22">
            <w:pPr>
              <w:pStyle w:val="29"/>
              <w:pageBreakBefore w:val="0"/>
              <w:kinsoku/>
              <w:wordWrap/>
              <w:overflowPunct/>
              <w:topLinePunct w:val="0"/>
              <w:autoSpaceDE/>
              <w:autoSpaceDN/>
              <w:bidi w:val="0"/>
              <w:snapToGrid w:val="0"/>
              <w:spacing w:before="0" w:after="0" w:line="240" w:lineRule="auto"/>
              <w:jc w:val="center"/>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lang w:val="zh-TW" w:eastAsia="zh-TW"/>
              </w:rPr>
              <w:t>得分率</w:t>
            </w:r>
          </w:p>
        </w:tc>
        <w:tc>
          <w:tcPr>
            <w:tcW w:w="16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59752E81">
            <w:pPr>
              <w:pStyle w:val="29"/>
              <w:snapToGrid w:val="0"/>
              <w:spacing w:before="0" w:after="0" w:line="240" w:lineRule="auto"/>
              <w:jc w:val="center"/>
              <w:rPr>
                <w:rFonts w:ascii="Times New Roman" w:hAnsi="Times New Roman" w:eastAsia="宋体" w:cs="Times New Roman"/>
                <w:color w:val="auto"/>
                <w:sz w:val="21"/>
                <w:szCs w:val="21"/>
                <w:highlight w:val="none"/>
              </w:rPr>
            </w:pPr>
            <w:r>
              <w:rPr>
                <w:rFonts w:hint="default" w:ascii="Times New Roman" w:hAnsi="Times New Roman" w:cs="Times New Roman" w:eastAsiaTheme="minorEastAsia"/>
                <w:color w:val="auto"/>
                <w:sz w:val="21"/>
                <w:szCs w:val="21"/>
                <w:highlight w:val="none"/>
              </w:rPr>
              <w:t>100.00%</w:t>
            </w:r>
          </w:p>
        </w:tc>
        <w:tc>
          <w:tcPr>
            <w:tcW w:w="16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5EA0327D">
            <w:pPr>
              <w:pStyle w:val="29"/>
              <w:snapToGrid w:val="0"/>
              <w:spacing w:before="0" w:after="0" w:line="240" w:lineRule="auto"/>
              <w:jc w:val="center"/>
              <w:rPr>
                <w:rFonts w:ascii="Times New Roman" w:hAnsi="Times New Roman" w:eastAsia="宋体" w:cs="Times New Roman"/>
                <w:color w:val="auto"/>
                <w:sz w:val="21"/>
                <w:szCs w:val="21"/>
                <w:highlight w:val="none"/>
              </w:rPr>
            </w:pPr>
            <w:r>
              <w:rPr>
                <w:rFonts w:hint="eastAsia" w:hAnsi="Times New Roman" w:cs="Times New Roman" w:eastAsiaTheme="minorEastAsia"/>
                <w:color w:val="auto"/>
                <w:sz w:val="21"/>
                <w:szCs w:val="21"/>
                <w:highlight w:val="none"/>
                <w:lang w:val="en-US" w:eastAsia="zh-CN"/>
              </w:rPr>
              <w:t>74</w:t>
            </w:r>
            <w:r>
              <w:rPr>
                <w:rFonts w:hint="default" w:ascii="Times New Roman" w:hAnsi="Times New Roman" w:cs="Times New Roman" w:eastAsiaTheme="minorEastAsia"/>
                <w:color w:val="auto"/>
                <w:sz w:val="21"/>
                <w:szCs w:val="21"/>
                <w:highlight w:val="none"/>
              </w:rPr>
              <w:t>.00%</w:t>
            </w:r>
          </w:p>
        </w:tc>
        <w:tc>
          <w:tcPr>
            <w:tcW w:w="16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33586BF">
            <w:pPr>
              <w:pStyle w:val="29"/>
              <w:snapToGrid w:val="0"/>
              <w:spacing w:before="0" w:after="0" w:line="240" w:lineRule="auto"/>
              <w:jc w:val="center"/>
              <w:rPr>
                <w:rFonts w:ascii="Times New Roman" w:hAnsi="Times New Roman" w:eastAsia="宋体" w:cs="Times New Roman"/>
                <w:color w:val="auto"/>
                <w:sz w:val="21"/>
                <w:szCs w:val="21"/>
                <w:highlight w:val="none"/>
              </w:rPr>
            </w:pPr>
            <w:r>
              <w:rPr>
                <w:rFonts w:hint="eastAsia" w:hAnsi="Times New Roman" w:cs="Times New Roman" w:eastAsiaTheme="minorEastAsia"/>
                <w:color w:val="auto"/>
                <w:sz w:val="21"/>
                <w:szCs w:val="21"/>
                <w:highlight w:val="none"/>
                <w:lang w:val="en-US" w:eastAsia="zh-CN"/>
              </w:rPr>
              <w:t>81.2</w:t>
            </w:r>
            <w:r>
              <w:rPr>
                <w:rFonts w:hint="default" w:ascii="Times New Roman" w:hAnsi="Times New Roman" w:cs="Times New Roman" w:eastAsiaTheme="minorEastAsia"/>
                <w:color w:val="auto"/>
                <w:sz w:val="21"/>
                <w:szCs w:val="21"/>
                <w:highlight w:val="none"/>
                <w:lang w:val="en-US" w:eastAsia="zh-CN"/>
              </w:rPr>
              <w:t>3</w:t>
            </w:r>
            <w:r>
              <w:rPr>
                <w:rFonts w:hint="default" w:ascii="Times New Roman" w:hAnsi="Times New Roman" w:cs="Times New Roman" w:eastAsiaTheme="minorEastAsia"/>
                <w:color w:val="auto"/>
                <w:sz w:val="21"/>
                <w:szCs w:val="21"/>
                <w:highlight w:val="none"/>
              </w:rPr>
              <w:t>%</w:t>
            </w:r>
          </w:p>
        </w:tc>
        <w:tc>
          <w:tcPr>
            <w:tcW w:w="16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AA96560">
            <w:pPr>
              <w:pStyle w:val="29"/>
              <w:snapToGrid w:val="0"/>
              <w:spacing w:before="0" w:after="0" w:line="240" w:lineRule="auto"/>
              <w:jc w:val="center"/>
              <w:rPr>
                <w:rFonts w:ascii="Times New Roman" w:hAnsi="Times New Roman" w:eastAsia="宋体" w:cs="Times New Roman"/>
                <w:color w:val="auto"/>
                <w:sz w:val="21"/>
                <w:szCs w:val="21"/>
                <w:highlight w:val="none"/>
              </w:rPr>
            </w:pPr>
            <w:r>
              <w:rPr>
                <w:rFonts w:hint="default" w:ascii="Times New Roman" w:hAnsi="Times New Roman" w:cs="Times New Roman" w:eastAsiaTheme="minorEastAsia"/>
                <w:color w:val="auto"/>
                <w:sz w:val="21"/>
                <w:szCs w:val="21"/>
                <w:highlight w:val="none"/>
              </w:rPr>
              <w:t>100.00%</w:t>
            </w:r>
          </w:p>
        </w:tc>
        <w:tc>
          <w:tcPr>
            <w:tcW w:w="11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AE9EA16">
            <w:pPr>
              <w:pStyle w:val="29"/>
              <w:snapToGrid w:val="0"/>
              <w:spacing w:before="0" w:after="0" w:line="240" w:lineRule="auto"/>
              <w:jc w:val="center"/>
              <w:rPr>
                <w:rFonts w:ascii="Times New Roman" w:hAnsi="Times New Roman" w:eastAsia="宋体" w:cs="Times New Roman"/>
                <w:color w:val="auto"/>
                <w:sz w:val="21"/>
                <w:szCs w:val="21"/>
                <w:highlight w:val="none"/>
              </w:rPr>
            </w:pPr>
            <w:r>
              <w:rPr>
                <w:rFonts w:hint="eastAsia" w:hAnsi="Times New Roman" w:cs="Times New Roman" w:eastAsiaTheme="minorEastAsia"/>
                <w:color w:val="auto"/>
                <w:sz w:val="21"/>
                <w:szCs w:val="21"/>
                <w:highlight w:val="none"/>
                <w:lang w:val="en-US" w:eastAsia="zh-CN"/>
              </w:rPr>
              <w:t xml:space="preserve">87.87 </w:t>
            </w:r>
            <w:r>
              <w:rPr>
                <w:rFonts w:hint="default" w:ascii="Times New Roman" w:hAnsi="Times New Roman" w:cs="Times New Roman" w:eastAsiaTheme="minorEastAsia"/>
                <w:color w:val="auto"/>
                <w:sz w:val="21"/>
                <w:szCs w:val="21"/>
                <w:highlight w:val="none"/>
              </w:rPr>
              <w:t>%</w:t>
            </w:r>
          </w:p>
        </w:tc>
      </w:tr>
    </w:tbl>
    <w:p w14:paraId="2BF89FDE">
      <w:pPr>
        <w:pageBreakBefore w:val="0"/>
        <w:kinsoku/>
        <w:wordWrap/>
        <w:overflowPunct/>
        <w:topLinePunct w:val="0"/>
        <w:autoSpaceDE/>
        <w:autoSpaceDN/>
        <w:bidi w:val="0"/>
        <w:snapToGrid w:val="0"/>
        <w:spacing w:line="360" w:lineRule="auto"/>
        <w:ind w:firstLine="420"/>
        <w:rPr>
          <w:rFonts w:ascii="Times New Roman" w:hAnsi="Times New Roman" w:cs="Times New Roman"/>
          <w:color w:val="auto"/>
        </w:rPr>
      </w:pPr>
    </w:p>
    <w:p w14:paraId="00A9C009">
      <w:pPr>
        <w:pStyle w:val="5"/>
        <w:pageBreakBefore w:val="0"/>
        <w:kinsoku/>
        <w:wordWrap/>
        <w:overflowPunct/>
        <w:topLinePunct w:val="0"/>
        <w:autoSpaceDE/>
        <w:autoSpaceDN/>
        <w:bidi w:val="0"/>
        <w:snapToGrid w:val="0"/>
        <w:spacing w:line="360" w:lineRule="auto"/>
        <w:ind w:firstLine="482"/>
        <w:rPr>
          <w:rFonts w:hint="default" w:ascii="Times New Roman" w:hAnsi="Times New Roman" w:cs="Times New Roman"/>
          <w:color w:val="auto"/>
        </w:rPr>
      </w:pPr>
      <w:bookmarkStart w:id="67" w:name="_Toc19845"/>
      <w:bookmarkStart w:id="68" w:name="_Toc18731"/>
      <w:r>
        <w:rPr>
          <w:rFonts w:hint="default" w:ascii="Times New Roman" w:hAnsi="Times New Roman" w:cs="Times New Roman"/>
          <w:color w:val="auto"/>
        </w:rPr>
        <w:t>（二）综合评价结论</w:t>
      </w:r>
      <w:bookmarkEnd w:id="67"/>
      <w:bookmarkEnd w:id="68"/>
    </w:p>
    <w:p w14:paraId="13B88720">
      <w:pPr>
        <w:pageBreakBefore w:val="0"/>
        <w:numPr>
          <w:ilvl w:val="-1"/>
          <w:numId w:val="0"/>
        </w:numPr>
        <w:kinsoku/>
        <w:wordWrap/>
        <w:overflowPunct/>
        <w:topLinePunct w:val="0"/>
        <w:autoSpaceDE/>
        <w:autoSpaceDN/>
        <w:bidi w:val="0"/>
        <w:snapToGrid/>
        <w:spacing w:line="360" w:lineRule="auto"/>
        <w:ind w:firstLine="420"/>
        <w:rPr>
          <w:rFonts w:hint="default" w:ascii="Times New Roman" w:hAnsi="Times New Roman" w:cs="Times New Roman"/>
          <w:color w:val="auto"/>
          <w:lang w:val="zh-TW" w:eastAsia="zh-TW"/>
        </w:rPr>
      </w:pPr>
      <w:r>
        <w:rPr>
          <w:rFonts w:hint="default" w:ascii="Times New Roman" w:hAnsi="Times New Roman" w:cs="Times New Roman"/>
          <w:color w:val="auto"/>
          <w:lang w:val="zh-TW" w:eastAsia="zh-TW"/>
        </w:rPr>
        <w:t>经评价分析，该项目</w:t>
      </w:r>
      <w:r>
        <w:rPr>
          <w:rFonts w:hint="eastAsia" w:cs="Times New Roman"/>
          <w:color w:val="auto"/>
          <w:lang w:val="en-US" w:eastAsia="zh-CN"/>
        </w:rPr>
        <w:t>实施</w:t>
      </w:r>
      <w:r>
        <w:rPr>
          <w:rFonts w:hint="default" w:ascii="Times New Roman" w:hAnsi="Times New Roman" w:cs="Times New Roman"/>
          <w:color w:val="auto"/>
          <w:lang w:val="zh-TW" w:eastAsia="zh-TW"/>
        </w:rPr>
        <w:t>完成情况</w:t>
      </w:r>
      <w:r>
        <w:rPr>
          <w:rFonts w:hint="default" w:ascii="Times New Roman" w:hAnsi="Times New Roman" w:cs="Times New Roman"/>
          <w:color w:val="auto"/>
          <w:lang w:val="zh-TW" w:eastAsia="zh-Hans"/>
        </w:rPr>
        <w:t>良好</w:t>
      </w:r>
      <w:r>
        <w:rPr>
          <w:rFonts w:hint="default" w:ascii="Times New Roman" w:hAnsi="Times New Roman" w:cs="Times New Roman"/>
          <w:color w:val="auto"/>
          <w:lang w:val="zh-TW" w:eastAsia="zh-TW"/>
        </w:rPr>
        <w:t>，</w:t>
      </w:r>
      <w:r>
        <w:rPr>
          <w:rFonts w:hint="default" w:ascii="Times New Roman" w:hAnsi="Times New Roman" w:cs="Times New Roman" w:eastAsiaTheme="minorEastAsia"/>
          <w:b w:val="0"/>
          <w:bCs w:val="0"/>
          <w:color w:val="auto"/>
          <w:kern w:val="2"/>
          <w:sz w:val="21"/>
          <w:szCs w:val="21"/>
          <w:highlight w:val="none"/>
          <w:lang w:val="en-US" w:eastAsia="zh-CN" w:bidi="ar-SA"/>
        </w:rPr>
        <w:t>项目实施单位严格落实政策要求</w:t>
      </w:r>
      <w:r>
        <w:rPr>
          <w:rFonts w:hint="default" w:ascii="Times New Roman" w:hAnsi="Times New Roman" w:cs="Times New Roman"/>
          <w:color w:val="auto"/>
          <w:lang w:val="en-US" w:eastAsia="zh-CN"/>
        </w:rPr>
        <w:t>为</w:t>
      </w:r>
      <w:r>
        <w:rPr>
          <w:rFonts w:hint="eastAsia" w:cs="Times New Roman"/>
          <w:color w:val="auto"/>
          <w:lang w:val="en-US" w:eastAsia="zh-CN"/>
        </w:rPr>
        <w:t>已入学</w:t>
      </w:r>
      <w:r>
        <w:rPr>
          <w:rFonts w:hint="eastAsia" w:ascii="Times New Roman" w:hAnsi="Times New Roman" w:cs="Times New Roman"/>
          <w:color w:val="auto"/>
          <w:lang w:val="en-US" w:eastAsia="zh-CN"/>
        </w:rPr>
        <w:t>的</w:t>
      </w:r>
      <w:r>
        <w:rPr>
          <w:rFonts w:hint="default" w:ascii="Times New Roman" w:hAnsi="Times New Roman" w:cs="Times New Roman"/>
          <w:color w:val="auto"/>
          <w:lang w:val="en-US" w:eastAsia="zh-CN"/>
        </w:rPr>
        <w:t>12名</w:t>
      </w:r>
      <w:r>
        <w:rPr>
          <w:rFonts w:hint="eastAsia" w:cs="Times New Roman"/>
          <w:color w:val="auto"/>
          <w:lang w:val="en-US" w:eastAsia="zh-CN"/>
        </w:rPr>
        <w:t>正常顺延学位</w:t>
      </w:r>
      <w:r>
        <w:rPr>
          <w:rFonts w:hint="eastAsia" w:ascii="Times New Roman" w:hAnsi="Times New Roman" w:cs="Times New Roman"/>
          <w:color w:val="auto"/>
          <w:lang w:val="en-US" w:eastAsia="zh-CN"/>
        </w:rPr>
        <w:t>的</w:t>
      </w:r>
      <w:r>
        <w:rPr>
          <w:rFonts w:hint="default" w:ascii="Times New Roman" w:hAnsi="Times New Roman" w:cs="Times New Roman"/>
          <w:color w:val="auto"/>
          <w:lang w:val="en-US" w:eastAsia="zh-CN"/>
        </w:rPr>
        <w:t>孤儿发放一学年</w:t>
      </w:r>
      <w:r>
        <w:rPr>
          <w:rFonts w:hint="default" w:ascii="Times New Roman" w:hAnsi="Times New Roman" w:cs="Times New Roman"/>
          <w:color w:val="auto"/>
          <w:lang w:eastAsia="zh-CN"/>
        </w:rPr>
        <w:t>助学补助金</w:t>
      </w:r>
      <w:r>
        <w:rPr>
          <w:rFonts w:hint="eastAsia" w:cs="Times New Roman"/>
          <w:color w:val="auto"/>
          <w:lang w:val="en-US" w:eastAsia="zh-CN"/>
        </w:rPr>
        <w:t>；为1名未满十八周岁正常顺延学位</w:t>
      </w:r>
      <w:r>
        <w:rPr>
          <w:rFonts w:hint="eastAsia" w:ascii="Times New Roman" w:hAnsi="Times New Roman" w:cs="Times New Roman"/>
          <w:color w:val="auto"/>
          <w:lang w:val="en-US" w:eastAsia="zh-CN"/>
        </w:rPr>
        <w:t>的</w:t>
      </w:r>
      <w:r>
        <w:rPr>
          <w:rFonts w:hint="default" w:ascii="Times New Roman" w:hAnsi="Times New Roman" w:cs="Times New Roman"/>
          <w:color w:val="auto"/>
          <w:lang w:val="en-US" w:eastAsia="zh-CN"/>
        </w:rPr>
        <w:t>孤儿</w:t>
      </w:r>
      <w:r>
        <w:rPr>
          <w:rFonts w:hint="eastAsia" w:ascii="Times New Roman" w:hAnsi="Times New Roman" w:cs="Times New Roman"/>
          <w:color w:val="auto"/>
          <w:lang w:val="en-US" w:eastAsia="zh-CN"/>
        </w:rPr>
        <w:t>按照每人每学</w:t>
      </w:r>
      <w:r>
        <w:rPr>
          <w:rFonts w:hint="default" w:ascii="Times New Roman" w:hAnsi="Times New Roman" w:cs="Times New Roman"/>
          <w:color w:val="auto"/>
          <w:lang w:val="en-US" w:eastAsia="zh-CN"/>
        </w:rPr>
        <w:t>年1</w:t>
      </w:r>
      <w:r>
        <w:rPr>
          <w:rFonts w:hint="eastAsia" w:ascii="Times New Roman" w:hAnsi="Times New Roman" w:cs="Times New Roman"/>
          <w:color w:val="auto"/>
          <w:lang w:val="en-US" w:eastAsia="zh-CN"/>
        </w:rPr>
        <w:t>.</w:t>
      </w:r>
      <w:r>
        <w:rPr>
          <w:rFonts w:hint="default" w:ascii="Times New Roman" w:hAnsi="Times New Roman" w:cs="Times New Roman"/>
          <w:color w:val="auto"/>
          <w:lang w:val="en-US" w:eastAsia="zh-CN"/>
        </w:rPr>
        <w:t>0</w:t>
      </w:r>
      <w:r>
        <w:rPr>
          <w:rFonts w:hint="eastAsia" w:ascii="Times New Roman" w:hAnsi="Times New Roman" w:cs="Times New Roman"/>
          <w:color w:val="auto"/>
          <w:lang w:val="en-US" w:eastAsia="zh-CN"/>
        </w:rPr>
        <w:t>0万元的标准</w:t>
      </w:r>
      <w:r>
        <w:rPr>
          <w:rFonts w:hint="eastAsia" w:cs="Times New Roman"/>
          <w:color w:val="auto"/>
          <w:lang w:val="en-US" w:eastAsia="zh-CN"/>
        </w:rPr>
        <w:t>，</w:t>
      </w:r>
      <w:r>
        <w:rPr>
          <w:rFonts w:hint="default" w:ascii="Times New Roman" w:hAnsi="Times New Roman" w:cs="Times New Roman"/>
          <w:color w:val="auto"/>
          <w:lang w:val="en-US" w:eastAsia="zh-CN"/>
        </w:rPr>
        <w:t>发放半学年</w:t>
      </w:r>
      <w:r>
        <w:rPr>
          <w:rFonts w:hint="default" w:ascii="Times New Roman" w:hAnsi="Times New Roman" w:cs="Times New Roman"/>
          <w:color w:val="auto"/>
          <w:lang w:eastAsia="zh-CN"/>
        </w:rPr>
        <w:t>助学补助金</w:t>
      </w:r>
      <w:r>
        <w:rPr>
          <w:rFonts w:hint="eastAsia" w:cs="Times New Roman"/>
          <w:color w:val="auto"/>
          <w:lang w:eastAsia="zh-CN"/>
        </w:rPr>
        <w:t>；</w:t>
      </w:r>
      <w:r>
        <w:rPr>
          <w:rFonts w:hint="default" w:ascii="Times New Roman" w:hAnsi="Times New Roman" w:cs="Times New Roman"/>
          <w:color w:val="auto"/>
          <w:lang w:val="en-US" w:eastAsia="zh-CN"/>
        </w:rPr>
        <w:t>为12名孤儿毕业生、新生</w:t>
      </w:r>
      <w:r>
        <w:rPr>
          <w:rFonts w:hint="eastAsia" w:ascii="Times New Roman" w:hAnsi="Times New Roman" w:cs="Times New Roman"/>
          <w:color w:val="auto"/>
          <w:lang w:val="en-US" w:eastAsia="zh-CN"/>
        </w:rPr>
        <w:t>按照每人每学</w:t>
      </w:r>
      <w:r>
        <w:rPr>
          <w:rFonts w:hint="default" w:ascii="Times New Roman" w:hAnsi="Times New Roman" w:cs="Times New Roman"/>
          <w:color w:val="auto"/>
          <w:lang w:val="en-US" w:eastAsia="zh-CN"/>
        </w:rPr>
        <w:t>年1</w:t>
      </w:r>
      <w:r>
        <w:rPr>
          <w:rFonts w:hint="eastAsia" w:ascii="Times New Roman" w:hAnsi="Times New Roman" w:cs="Times New Roman"/>
          <w:color w:val="auto"/>
          <w:lang w:val="en-US" w:eastAsia="zh-CN"/>
        </w:rPr>
        <w:t>.</w:t>
      </w:r>
      <w:r>
        <w:rPr>
          <w:rFonts w:hint="default" w:ascii="Times New Roman" w:hAnsi="Times New Roman" w:cs="Times New Roman"/>
          <w:color w:val="auto"/>
          <w:lang w:val="en-US" w:eastAsia="zh-CN"/>
        </w:rPr>
        <w:t>0</w:t>
      </w:r>
      <w:r>
        <w:rPr>
          <w:rFonts w:hint="eastAsia" w:ascii="Times New Roman" w:hAnsi="Times New Roman" w:cs="Times New Roman"/>
          <w:color w:val="auto"/>
          <w:lang w:val="en-US" w:eastAsia="zh-CN"/>
        </w:rPr>
        <w:t>0万元的标准</w:t>
      </w:r>
      <w:r>
        <w:rPr>
          <w:rFonts w:hint="eastAsia" w:cs="Times New Roman"/>
          <w:color w:val="auto"/>
          <w:lang w:val="en-US" w:eastAsia="zh-CN"/>
        </w:rPr>
        <w:t>，</w:t>
      </w:r>
      <w:r>
        <w:rPr>
          <w:rFonts w:hint="default" w:ascii="Times New Roman" w:hAnsi="Times New Roman" w:cs="Times New Roman"/>
          <w:color w:val="auto"/>
          <w:lang w:val="en-US" w:eastAsia="zh-CN"/>
        </w:rPr>
        <w:t>发放半学年</w:t>
      </w:r>
      <w:r>
        <w:rPr>
          <w:rFonts w:hint="default" w:ascii="Times New Roman" w:hAnsi="Times New Roman" w:cs="Times New Roman"/>
          <w:color w:val="auto"/>
          <w:lang w:eastAsia="zh-CN"/>
        </w:rPr>
        <w:t>助学补助金。</w:t>
      </w:r>
      <w:r>
        <w:rPr>
          <w:rFonts w:hint="eastAsia" w:cs="Times New Roman"/>
          <w:color w:val="auto"/>
          <w:lang w:val="en-US" w:eastAsia="zh-CN"/>
        </w:rPr>
        <w:t>帮助</w:t>
      </w:r>
      <w:r>
        <w:rPr>
          <w:rFonts w:hint="default" w:ascii="Times New Roman" w:hAnsi="Times New Roman" w:cs="Times New Roman"/>
          <w:color w:val="auto"/>
          <w:lang w:val="zh-TW" w:eastAsia="zh-TW"/>
        </w:rPr>
        <w:t>孤儿</w:t>
      </w:r>
      <w:r>
        <w:rPr>
          <w:rFonts w:hint="eastAsia" w:cs="Times New Roman"/>
          <w:color w:val="auto"/>
          <w:lang w:val="en-US" w:eastAsia="zh-CN"/>
        </w:rPr>
        <w:t>顺利完成学业，</w:t>
      </w:r>
      <w:r>
        <w:rPr>
          <w:rFonts w:hint="default" w:ascii="Times New Roman" w:hAnsi="Times New Roman" w:cs="Times New Roman"/>
          <w:color w:val="auto"/>
          <w:lang w:val="zh-TW" w:eastAsia="zh-TW"/>
        </w:rPr>
        <w:t>提升孤儿教育水平。</w:t>
      </w:r>
      <w:r>
        <w:rPr>
          <w:rFonts w:hint="default" w:ascii="Times New Roman" w:hAnsi="Times New Roman" w:cs="Times New Roman"/>
          <w:b w:val="0"/>
          <w:bCs w:val="0"/>
          <w:color w:val="auto"/>
          <w:lang w:val="zh-TW" w:eastAsia="zh-TW"/>
        </w:rPr>
        <w:t>但是在评价过程中存在</w:t>
      </w:r>
      <w:r>
        <w:rPr>
          <w:rFonts w:hint="default" w:ascii="Times New Roman" w:hAnsi="Times New Roman" w:cs="Times New Roman" w:eastAsiaTheme="minorEastAsia"/>
          <w:b w:val="0"/>
          <w:bCs w:val="0"/>
          <w:color w:val="auto"/>
          <w:kern w:val="2"/>
          <w:sz w:val="21"/>
          <w:szCs w:val="21"/>
          <w:highlight w:val="none"/>
          <w:lang w:val="en-US" w:eastAsia="zh-CN" w:bidi="ar-SA"/>
        </w:rPr>
        <w:t>资金支付程序</w:t>
      </w:r>
      <w:r>
        <w:rPr>
          <w:rFonts w:hint="eastAsia" w:cs="Times New Roman"/>
          <w:b w:val="0"/>
          <w:bCs w:val="0"/>
          <w:color w:val="auto"/>
          <w:kern w:val="2"/>
          <w:sz w:val="21"/>
          <w:szCs w:val="21"/>
          <w:highlight w:val="none"/>
          <w:lang w:val="en-US" w:eastAsia="zh-CN" w:bidi="ar-SA"/>
        </w:rPr>
        <w:t>提供</w:t>
      </w:r>
      <w:r>
        <w:rPr>
          <w:rFonts w:hint="default" w:ascii="Times New Roman" w:hAnsi="Times New Roman" w:cs="Times New Roman" w:eastAsiaTheme="minorEastAsia"/>
          <w:b w:val="0"/>
          <w:bCs w:val="0"/>
          <w:color w:val="auto"/>
          <w:kern w:val="2"/>
          <w:sz w:val="21"/>
          <w:szCs w:val="21"/>
          <w:highlight w:val="none"/>
          <w:lang w:val="en-US" w:eastAsia="zh-CN" w:bidi="ar-SA"/>
        </w:rPr>
        <w:t>不</w:t>
      </w:r>
      <w:r>
        <w:rPr>
          <w:rFonts w:hint="eastAsia" w:cs="Times New Roman"/>
          <w:b w:val="0"/>
          <w:bCs w:val="0"/>
          <w:color w:val="auto"/>
          <w:kern w:val="2"/>
          <w:sz w:val="21"/>
          <w:szCs w:val="21"/>
          <w:highlight w:val="none"/>
          <w:lang w:val="en-US" w:eastAsia="zh-CN" w:bidi="ar-SA"/>
        </w:rPr>
        <w:t>完整</w:t>
      </w:r>
      <w:r>
        <w:rPr>
          <w:rFonts w:hint="eastAsia" w:cs="Times New Roman"/>
          <w:b w:val="0"/>
          <w:bCs w:val="0"/>
          <w:color w:val="auto"/>
          <w:lang w:val="zh-TW" w:eastAsia="zh-CN"/>
        </w:rPr>
        <w:t>、</w:t>
      </w:r>
      <w:r>
        <w:rPr>
          <w:rFonts w:hint="default" w:ascii="Times New Roman" w:hAnsi="Times New Roman" w:cs="Times New Roman" w:eastAsiaTheme="minorEastAsia"/>
          <w:b w:val="0"/>
          <w:bCs w:val="0"/>
          <w:color w:val="auto"/>
          <w:kern w:val="2"/>
          <w:sz w:val="21"/>
          <w:szCs w:val="21"/>
          <w:highlight w:val="none"/>
          <w:lang w:val="en-US" w:eastAsia="zh-CN" w:bidi="ar-SA"/>
        </w:rPr>
        <w:t>助学金发放不及时</w:t>
      </w:r>
      <w:r>
        <w:rPr>
          <w:rFonts w:hint="eastAsia" w:cs="Times New Roman"/>
          <w:b w:val="0"/>
          <w:bCs w:val="0"/>
          <w:color w:val="auto"/>
          <w:kern w:val="2"/>
          <w:sz w:val="21"/>
          <w:szCs w:val="21"/>
          <w:highlight w:val="none"/>
          <w:lang w:val="en-US" w:eastAsia="zh-CN" w:bidi="ar-SA"/>
        </w:rPr>
        <w:t>、助学金发放</w:t>
      </w:r>
      <w:r>
        <w:rPr>
          <w:rFonts w:hint="default" w:ascii="Times New Roman" w:hAnsi="Times New Roman" w:cs="Times New Roman" w:eastAsiaTheme="minorEastAsia"/>
          <w:b w:val="0"/>
          <w:bCs w:val="0"/>
          <w:color w:val="auto"/>
          <w:kern w:val="2"/>
          <w:sz w:val="21"/>
          <w:szCs w:val="21"/>
          <w:highlight w:val="none"/>
          <w:lang w:val="en-US" w:eastAsia="zh-CN" w:bidi="ar-SA"/>
        </w:rPr>
        <w:t>未</w:t>
      </w:r>
      <w:r>
        <w:rPr>
          <w:rFonts w:hint="eastAsia" w:cs="Times New Roman"/>
          <w:b w:val="0"/>
          <w:bCs w:val="0"/>
          <w:color w:val="auto"/>
          <w:kern w:val="2"/>
          <w:sz w:val="21"/>
          <w:szCs w:val="21"/>
          <w:highlight w:val="none"/>
          <w:lang w:val="en-US" w:eastAsia="zh-CN" w:bidi="ar-SA"/>
        </w:rPr>
        <w:t>按照政策</w:t>
      </w:r>
      <w:r>
        <w:rPr>
          <w:rFonts w:hint="eastAsia" w:cs="Times New Roman"/>
          <w:b w:val="0"/>
          <w:bCs w:val="0"/>
          <w:color w:val="auto"/>
          <w:highlight w:val="none"/>
          <w:lang w:val="en-US" w:eastAsia="zh-CN"/>
        </w:rPr>
        <w:t>要求</w:t>
      </w:r>
      <w:r>
        <w:rPr>
          <w:rFonts w:hint="eastAsia" w:cs="Times New Roman"/>
          <w:b w:val="0"/>
          <w:bCs w:val="0"/>
          <w:color w:val="auto"/>
          <w:kern w:val="2"/>
          <w:sz w:val="21"/>
          <w:szCs w:val="21"/>
          <w:highlight w:val="none"/>
          <w:lang w:val="en-US" w:eastAsia="zh-CN" w:bidi="ar-SA"/>
        </w:rPr>
        <w:t>及时</w:t>
      </w:r>
      <w:r>
        <w:rPr>
          <w:rFonts w:hint="default" w:ascii="Times New Roman" w:hAnsi="Times New Roman" w:cs="Times New Roman" w:eastAsiaTheme="minorEastAsia"/>
          <w:b w:val="0"/>
          <w:bCs w:val="0"/>
          <w:color w:val="auto"/>
          <w:kern w:val="2"/>
          <w:sz w:val="21"/>
          <w:szCs w:val="21"/>
          <w:highlight w:val="none"/>
          <w:lang w:val="en-US" w:eastAsia="zh-CN" w:bidi="ar-SA"/>
        </w:rPr>
        <w:t>公示</w:t>
      </w:r>
      <w:r>
        <w:rPr>
          <w:rFonts w:hint="eastAsia"/>
          <w:b w:val="0"/>
          <w:bCs w:val="0"/>
          <w:lang w:eastAsia="zh-CN"/>
        </w:rPr>
        <w:t>，</w:t>
      </w:r>
      <w:r>
        <w:rPr>
          <w:rFonts w:hint="eastAsia"/>
          <w:b w:val="0"/>
          <w:bCs w:val="0"/>
          <w:lang w:val="en-US" w:eastAsia="zh-CN"/>
        </w:rPr>
        <w:t>公开内容不完整</w:t>
      </w:r>
      <w:r>
        <w:rPr>
          <w:rFonts w:hint="eastAsia" w:cs="Times New Roman"/>
          <w:b w:val="0"/>
          <w:bCs w:val="0"/>
          <w:color w:val="auto"/>
          <w:kern w:val="2"/>
          <w:sz w:val="21"/>
          <w:szCs w:val="21"/>
          <w:highlight w:val="none"/>
          <w:lang w:val="en-US" w:eastAsia="zh-CN" w:bidi="ar-SA"/>
        </w:rPr>
        <w:t>等</w:t>
      </w:r>
      <w:r>
        <w:rPr>
          <w:rFonts w:hint="default" w:ascii="Times New Roman" w:hAnsi="Times New Roman" w:cs="Times New Roman"/>
          <w:color w:val="auto"/>
          <w:lang w:val="zh-TW" w:eastAsia="zh-TW"/>
        </w:rPr>
        <w:t>问题。</w:t>
      </w:r>
    </w:p>
    <w:p w14:paraId="109041BC">
      <w:pPr>
        <w:pStyle w:val="4"/>
        <w:pageBreakBefore w:val="0"/>
        <w:kinsoku/>
        <w:wordWrap/>
        <w:overflowPunct/>
        <w:topLinePunct w:val="0"/>
        <w:autoSpaceDE/>
        <w:autoSpaceDN/>
        <w:bidi w:val="0"/>
        <w:snapToGrid w:val="0"/>
        <w:spacing w:line="360" w:lineRule="auto"/>
        <w:ind w:firstLine="482"/>
        <w:rPr>
          <w:rFonts w:hint="default" w:ascii="Times New Roman" w:hAnsi="Times New Roman" w:cs="Times New Roman"/>
          <w:color w:val="auto"/>
        </w:rPr>
      </w:pPr>
      <w:bookmarkStart w:id="69" w:name="_Toc23823"/>
      <w:r>
        <w:rPr>
          <w:rFonts w:hint="default" w:ascii="Times New Roman" w:hAnsi="Times New Roman" w:cs="Times New Roman"/>
          <w:color w:val="auto"/>
        </w:rPr>
        <w:t>五、绩效评价指标分析</w:t>
      </w:r>
      <w:bookmarkEnd w:id="65"/>
      <w:bookmarkEnd w:id="66"/>
      <w:bookmarkEnd w:id="69"/>
    </w:p>
    <w:p w14:paraId="447DBD16">
      <w:pPr>
        <w:pStyle w:val="5"/>
        <w:pageBreakBefore w:val="0"/>
        <w:kinsoku/>
        <w:wordWrap/>
        <w:overflowPunct/>
        <w:topLinePunct w:val="0"/>
        <w:autoSpaceDE/>
        <w:autoSpaceDN/>
        <w:bidi w:val="0"/>
        <w:snapToGrid w:val="0"/>
        <w:spacing w:line="360" w:lineRule="auto"/>
        <w:ind w:firstLine="482"/>
        <w:rPr>
          <w:rFonts w:hint="default" w:ascii="Times New Roman" w:hAnsi="Times New Roman" w:cs="Times New Roman"/>
          <w:color w:val="auto"/>
        </w:rPr>
      </w:pPr>
      <w:bookmarkStart w:id="70" w:name="_Toc22260"/>
      <w:bookmarkStart w:id="71" w:name="_Toc18078"/>
      <w:bookmarkStart w:id="72" w:name="_Toc2268"/>
      <w:r>
        <w:rPr>
          <w:rFonts w:hint="default" w:ascii="Times New Roman" w:hAnsi="Times New Roman" w:cs="Times New Roman"/>
          <w:color w:val="auto"/>
        </w:rPr>
        <w:t>（一）项目决策情况</w:t>
      </w:r>
      <w:bookmarkEnd w:id="70"/>
      <w:bookmarkEnd w:id="71"/>
      <w:bookmarkEnd w:id="72"/>
    </w:p>
    <w:p w14:paraId="73951440">
      <w:pPr>
        <w:pageBreakBefore w:val="0"/>
        <w:kinsoku/>
        <w:wordWrap/>
        <w:overflowPunct/>
        <w:topLinePunct w:val="0"/>
        <w:autoSpaceDE/>
        <w:autoSpaceDN/>
        <w:bidi w:val="0"/>
        <w:adjustRightInd/>
        <w:snapToGrid w:val="0"/>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项目决策类指标由3个二级指标和6个三级指标构成，权重分10.00分，实际得分</w:t>
      </w:r>
      <w:r>
        <w:rPr>
          <w:rFonts w:hint="eastAsia" w:cs="Times New Roman"/>
          <w:color w:val="auto"/>
          <w:lang w:val="en-US" w:eastAsia="zh-CN"/>
        </w:rPr>
        <w:t>10.0</w:t>
      </w:r>
      <w:r>
        <w:rPr>
          <w:rFonts w:hint="default" w:ascii="Times New Roman" w:hAnsi="Times New Roman" w:cs="Times New Roman"/>
          <w:color w:val="auto"/>
        </w:rPr>
        <w:t>0分，得分率为</w:t>
      </w:r>
      <w:r>
        <w:rPr>
          <w:rFonts w:hint="eastAsia" w:cs="Times New Roman"/>
          <w:color w:val="auto"/>
          <w:kern w:val="0"/>
          <w:lang w:val="en-US" w:eastAsia="zh-CN" w:bidi="ar"/>
        </w:rPr>
        <w:t>100</w:t>
      </w:r>
      <w:r>
        <w:rPr>
          <w:rFonts w:hint="default" w:ascii="Times New Roman" w:hAnsi="Times New Roman" w:cs="Times New Roman"/>
          <w:color w:val="auto"/>
          <w:kern w:val="0"/>
          <w:lang w:bidi="ar"/>
        </w:rPr>
        <w:t>.00</w:t>
      </w:r>
      <w:r>
        <w:rPr>
          <w:rFonts w:hint="default" w:ascii="Times New Roman" w:hAnsi="Times New Roman" w:cs="Times New Roman"/>
          <w:color w:val="auto"/>
        </w:rPr>
        <w:t>%。各指标业绩值和绩效分值如下表所示：</w:t>
      </w:r>
    </w:p>
    <w:p w14:paraId="3E5091D6">
      <w:pPr>
        <w:pageBreakBefore w:val="0"/>
        <w:kinsoku/>
        <w:wordWrap/>
        <w:overflowPunct/>
        <w:topLinePunct w:val="0"/>
        <w:autoSpaceDE/>
        <w:autoSpaceDN/>
        <w:bidi w:val="0"/>
        <w:snapToGrid w:val="0"/>
        <w:spacing w:line="360" w:lineRule="auto"/>
        <w:ind w:firstLine="0" w:firstLineChars="0"/>
        <w:jc w:val="center"/>
        <w:rPr>
          <w:rFonts w:hint="default" w:ascii="Times New Roman" w:hAnsi="Times New Roman" w:cs="Times New Roman"/>
          <w:b/>
          <w:bCs/>
          <w:color w:val="auto"/>
          <w:szCs w:val="16"/>
        </w:rPr>
      </w:pPr>
      <w:r>
        <w:rPr>
          <w:rFonts w:hint="default" w:ascii="Times New Roman" w:hAnsi="Times New Roman" w:cs="Times New Roman"/>
          <w:b/>
          <w:bCs/>
          <w:color w:val="auto"/>
          <w:szCs w:val="16"/>
        </w:rPr>
        <w:t>表</w:t>
      </w:r>
      <w:r>
        <w:rPr>
          <w:rFonts w:hint="default" w:ascii="Times New Roman" w:hAnsi="Times New Roman" w:cs="Times New Roman"/>
          <w:b/>
          <w:bCs/>
          <w:color w:val="auto"/>
          <w:szCs w:val="16"/>
          <w:lang w:val="en-US" w:eastAsia="zh-CN"/>
        </w:rPr>
        <w:t>5</w:t>
      </w:r>
      <w:r>
        <w:rPr>
          <w:rFonts w:hint="default" w:ascii="Times New Roman" w:hAnsi="Times New Roman" w:cs="Times New Roman"/>
          <w:b/>
          <w:bCs/>
          <w:color w:val="auto"/>
          <w:szCs w:val="16"/>
        </w:rPr>
        <w:t>-1：项目决策类指标及分值</w:t>
      </w:r>
    </w:p>
    <w:tbl>
      <w:tblPr>
        <w:tblStyle w:val="18"/>
        <w:tblW w:w="4998" w:type="pct"/>
        <w:tblInd w:w="0" w:type="dxa"/>
        <w:tblLayout w:type="autofit"/>
        <w:tblCellMar>
          <w:top w:w="0" w:type="dxa"/>
          <w:left w:w="0" w:type="dxa"/>
          <w:bottom w:w="0" w:type="dxa"/>
          <w:right w:w="0" w:type="dxa"/>
        </w:tblCellMar>
      </w:tblPr>
      <w:tblGrid>
        <w:gridCol w:w="1068"/>
        <w:gridCol w:w="1055"/>
        <w:gridCol w:w="1836"/>
        <w:gridCol w:w="955"/>
        <w:gridCol w:w="1079"/>
        <w:gridCol w:w="750"/>
        <w:gridCol w:w="772"/>
        <w:gridCol w:w="812"/>
      </w:tblGrid>
      <w:tr w14:paraId="78AC6FC4">
        <w:tblPrEx>
          <w:tblCellMar>
            <w:top w:w="0" w:type="dxa"/>
            <w:left w:w="0" w:type="dxa"/>
            <w:bottom w:w="0" w:type="dxa"/>
            <w:right w:w="0" w:type="dxa"/>
          </w:tblCellMar>
        </w:tblPrEx>
        <w:trPr>
          <w:trHeight w:val="397" w:hRule="atLeast"/>
          <w:tblHeader/>
        </w:trPr>
        <w:tc>
          <w:tcPr>
            <w:tcW w:w="64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B5D4832">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cs="Times New Roman" w:eastAsiaTheme="minorEastAsia"/>
                <w:b/>
                <w:color w:val="auto"/>
                <w:sz w:val="21"/>
                <w:szCs w:val="21"/>
              </w:rPr>
            </w:pPr>
            <w:r>
              <w:rPr>
                <w:rFonts w:hint="default" w:ascii="Times New Roman" w:hAnsi="Times New Roman" w:cs="Times New Roman" w:eastAsiaTheme="minorEastAsia"/>
                <w:b/>
                <w:color w:val="auto"/>
                <w:kern w:val="0"/>
                <w:sz w:val="21"/>
                <w:szCs w:val="21"/>
                <w:lang w:bidi="ar"/>
              </w:rPr>
              <w:t>一级指标</w:t>
            </w:r>
          </w:p>
        </w:tc>
        <w:tc>
          <w:tcPr>
            <w:tcW w:w="64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16501FC">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cs="Times New Roman" w:eastAsiaTheme="minorEastAsia"/>
                <w:b/>
                <w:color w:val="auto"/>
                <w:sz w:val="21"/>
                <w:szCs w:val="21"/>
              </w:rPr>
            </w:pPr>
            <w:r>
              <w:rPr>
                <w:rFonts w:hint="default" w:ascii="Times New Roman" w:hAnsi="Times New Roman" w:cs="Times New Roman" w:eastAsiaTheme="minorEastAsia"/>
                <w:b/>
                <w:color w:val="auto"/>
                <w:kern w:val="0"/>
                <w:sz w:val="21"/>
                <w:szCs w:val="21"/>
                <w:lang w:bidi="ar"/>
              </w:rPr>
              <w:t>二级指标</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0AB7A92">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cs="Times New Roman" w:eastAsiaTheme="minorEastAsia"/>
                <w:b/>
                <w:color w:val="auto"/>
                <w:sz w:val="21"/>
                <w:szCs w:val="21"/>
              </w:rPr>
            </w:pPr>
            <w:r>
              <w:rPr>
                <w:rFonts w:hint="default" w:ascii="Times New Roman" w:hAnsi="Times New Roman" w:cs="Times New Roman" w:eastAsiaTheme="minorEastAsia"/>
                <w:b/>
                <w:color w:val="auto"/>
                <w:kern w:val="0"/>
                <w:sz w:val="21"/>
                <w:szCs w:val="21"/>
                <w:lang w:bidi="ar"/>
              </w:rPr>
              <w:t>三级指标</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45F86A0">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cs="Times New Roman" w:eastAsiaTheme="minorEastAsia"/>
                <w:b/>
                <w:color w:val="auto"/>
                <w:sz w:val="21"/>
                <w:szCs w:val="21"/>
              </w:rPr>
            </w:pPr>
            <w:r>
              <w:rPr>
                <w:rFonts w:hint="default" w:ascii="Times New Roman" w:hAnsi="Times New Roman" w:cs="Times New Roman" w:eastAsiaTheme="minorEastAsia"/>
                <w:b/>
                <w:color w:val="auto"/>
                <w:kern w:val="0"/>
                <w:sz w:val="21"/>
                <w:szCs w:val="21"/>
                <w:lang w:bidi="ar"/>
              </w:rPr>
              <w:t>目标值</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6A73284">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cs="Times New Roman" w:eastAsiaTheme="minorEastAsia"/>
                <w:b/>
                <w:color w:val="auto"/>
                <w:kern w:val="0"/>
                <w:sz w:val="21"/>
                <w:szCs w:val="21"/>
                <w:lang w:bidi="ar"/>
              </w:rPr>
            </w:pPr>
            <w:r>
              <w:rPr>
                <w:rFonts w:hint="default" w:ascii="Times New Roman" w:hAnsi="Times New Roman" w:cs="Times New Roman" w:eastAsiaTheme="minorEastAsia"/>
                <w:b/>
                <w:color w:val="auto"/>
                <w:kern w:val="0"/>
                <w:sz w:val="21"/>
                <w:szCs w:val="21"/>
                <w:lang w:bidi="ar"/>
              </w:rPr>
              <w:t>实际完成值</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0212A8B6">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cs="Times New Roman" w:eastAsiaTheme="minorEastAsia"/>
                <w:b/>
                <w:color w:val="auto"/>
                <w:sz w:val="21"/>
                <w:szCs w:val="21"/>
              </w:rPr>
            </w:pPr>
            <w:r>
              <w:rPr>
                <w:rFonts w:hint="default" w:ascii="Times New Roman" w:hAnsi="Times New Roman" w:cs="Times New Roman" w:eastAsiaTheme="minorEastAsia"/>
                <w:b/>
                <w:color w:val="auto"/>
                <w:kern w:val="0"/>
                <w:sz w:val="21"/>
                <w:szCs w:val="21"/>
                <w:lang w:bidi="ar"/>
              </w:rPr>
              <w:t>权重</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76C2F2B">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cs="Times New Roman" w:eastAsiaTheme="minorEastAsia"/>
                <w:b/>
                <w:color w:val="auto"/>
                <w:sz w:val="21"/>
                <w:szCs w:val="21"/>
              </w:rPr>
            </w:pPr>
            <w:r>
              <w:rPr>
                <w:rFonts w:hint="default" w:ascii="Times New Roman" w:hAnsi="Times New Roman" w:cs="Times New Roman" w:eastAsiaTheme="minorEastAsia"/>
                <w:b/>
                <w:color w:val="auto"/>
                <w:kern w:val="0"/>
                <w:sz w:val="21"/>
                <w:szCs w:val="21"/>
                <w:lang w:bidi="ar"/>
              </w:rPr>
              <w:t>得分</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8D8C6FA">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cs="Times New Roman" w:eastAsiaTheme="minorEastAsia"/>
                <w:b/>
                <w:color w:val="auto"/>
                <w:kern w:val="0"/>
                <w:sz w:val="21"/>
                <w:szCs w:val="21"/>
                <w:lang w:bidi="ar"/>
              </w:rPr>
            </w:pPr>
            <w:r>
              <w:rPr>
                <w:rFonts w:hint="default" w:ascii="Times New Roman" w:hAnsi="Times New Roman" w:cs="Times New Roman" w:eastAsiaTheme="minorEastAsia"/>
                <w:b/>
                <w:color w:val="auto"/>
                <w:kern w:val="0"/>
                <w:sz w:val="21"/>
                <w:szCs w:val="21"/>
                <w:lang w:bidi="ar"/>
              </w:rPr>
              <w:t>得分率</w:t>
            </w:r>
          </w:p>
        </w:tc>
      </w:tr>
      <w:tr w14:paraId="2AB6F208">
        <w:tblPrEx>
          <w:tblCellMar>
            <w:top w:w="0" w:type="dxa"/>
            <w:left w:w="0" w:type="dxa"/>
            <w:bottom w:w="0" w:type="dxa"/>
            <w:right w:w="0" w:type="dxa"/>
          </w:tblCellMar>
        </w:tblPrEx>
        <w:trPr>
          <w:trHeight w:val="397" w:hRule="atLeast"/>
        </w:trPr>
        <w:tc>
          <w:tcPr>
            <w:tcW w:w="649"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5A7FCB2">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cs="Times New Roman" w:eastAsiaTheme="minorEastAsia"/>
                <w:color w:val="auto"/>
                <w:kern w:val="0"/>
                <w:sz w:val="21"/>
                <w:szCs w:val="21"/>
                <w:lang w:bidi="ar"/>
              </w:rPr>
            </w:pPr>
            <w:r>
              <w:rPr>
                <w:rFonts w:hint="default" w:ascii="Times New Roman" w:hAnsi="Times New Roman" w:cs="Times New Roman" w:eastAsiaTheme="minorEastAsia"/>
                <w:color w:val="auto"/>
                <w:kern w:val="0"/>
                <w:sz w:val="21"/>
                <w:szCs w:val="21"/>
                <w:lang w:bidi="ar"/>
              </w:rPr>
              <w:t>A决策（10.00分）　</w:t>
            </w:r>
          </w:p>
        </w:tc>
        <w:tc>
          <w:tcPr>
            <w:tcW w:w="641"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699DC61">
            <w:pPr>
              <w:pageBreakBefore w:val="0"/>
              <w:widowControl/>
              <w:kinsoku/>
              <w:wordWrap/>
              <w:overflowPunct/>
              <w:topLinePunct w:val="0"/>
              <w:autoSpaceDE/>
              <w:autoSpaceDN/>
              <w:bidi w:val="0"/>
              <w:adjustRightInd/>
              <w:snapToGrid w:val="0"/>
              <w:spacing w:before="0" w:after="0" w:line="240" w:lineRule="auto"/>
              <w:ind w:firstLine="0" w:firstLineChars="0"/>
              <w:jc w:val="both"/>
              <w:textAlignment w:val="center"/>
              <w:rPr>
                <w:rFonts w:hint="default" w:ascii="Times New Roman" w:hAnsi="Times New Roman" w:cs="Times New Roman" w:eastAsiaTheme="minorEastAsia"/>
                <w:color w:val="auto"/>
                <w:kern w:val="0"/>
                <w:sz w:val="21"/>
                <w:szCs w:val="21"/>
                <w:lang w:bidi="ar"/>
              </w:rPr>
            </w:pPr>
            <w:r>
              <w:rPr>
                <w:rFonts w:hint="default" w:ascii="Times New Roman" w:hAnsi="Times New Roman" w:cs="Times New Roman" w:eastAsiaTheme="minorEastAsia"/>
                <w:color w:val="auto"/>
                <w:kern w:val="0"/>
                <w:sz w:val="21"/>
                <w:szCs w:val="21"/>
                <w:lang w:bidi="ar"/>
              </w:rPr>
              <w:t>A1 项目立项（3.00分）　</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72A2459">
            <w:pPr>
              <w:pageBreakBefore w:val="0"/>
              <w:widowControl/>
              <w:kinsoku/>
              <w:wordWrap/>
              <w:overflowPunct/>
              <w:topLinePunct w:val="0"/>
              <w:autoSpaceDE/>
              <w:autoSpaceDN/>
              <w:bidi w:val="0"/>
              <w:adjustRightInd/>
              <w:snapToGrid w:val="0"/>
              <w:spacing w:before="0" w:after="0" w:line="240" w:lineRule="auto"/>
              <w:ind w:firstLine="0" w:firstLineChars="0"/>
              <w:jc w:val="both"/>
              <w:textAlignment w:val="center"/>
              <w:rPr>
                <w:rFonts w:hint="default" w:ascii="Times New Roman" w:hAnsi="Times New Roman" w:cs="Times New Roman" w:eastAsiaTheme="minorEastAsia"/>
                <w:color w:val="auto"/>
                <w:kern w:val="0"/>
                <w:sz w:val="21"/>
                <w:szCs w:val="21"/>
                <w:lang w:bidi="ar"/>
              </w:rPr>
            </w:pPr>
            <w:r>
              <w:rPr>
                <w:rFonts w:hint="default" w:ascii="Times New Roman" w:hAnsi="Times New Roman" w:cs="Times New Roman" w:eastAsiaTheme="minorEastAsia"/>
                <w:color w:val="auto"/>
                <w:kern w:val="0"/>
                <w:sz w:val="21"/>
                <w:szCs w:val="21"/>
                <w:lang w:bidi="ar"/>
              </w:rPr>
              <w:t>A11立项依据充分性</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253459E">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1"/>
                <w:szCs w:val="21"/>
                <w:lang w:bidi="ar"/>
              </w:rPr>
            </w:pPr>
            <w:r>
              <w:rPr>
                <w:rFonts w:hint="default" w:ascii="Times New Roman" w:hAnsi="Times New Roman" w:cs="Times New Roman" w:eastAsiaTheme="minorEastAsia"/>
                <w:color w:val="auto"/>
                <w:kern w:val="0"/>
                <w:sz w:val="21"/>
                <w:szCs w:val="21"/>
                <w:lang w:bidi="ar"/>
              </w:rPr>
              <w:t>充分</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896E721">
            <w:pPr>
              <w:widowControl/>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lang w:val="en-US" w:eastAsia="zh-CN" w:bidi="ar"/>
              </w:rPr>
            </w:pPr>
            <w:r>
              <w:rPr>
                <w:rFonts w:hint="default" w:ascii="Times New Roman" w:hAnsi="Times New Roman" w:cs="Times New Roman"/>
                <w:color w:val="auto"/>
                <w:kern w:val="0"/>
                <w:lang w:bidi="ar"/>
              </w:rPr>
              <w:t>充分</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9E57B43">
            <w:pPr>
              <w:widowControl/>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lang w:bidi="ar"/>
              </w:rPr>
            </w:pPr>
            <w:r>
              <w:rPr>
                <w:rFonts w:hint="default" w:ascii="Times New Roman" w:hAnsi="Times New Roman" w:cs="Times New Roman"/>
                <w:color w:val="auto"/>
                <w:kern w:val="0"/>
                <w:lang w:bidi="ar"/>
              </w:rPr>
              <w:t>1.50</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9A68CA9">
            <w:pPr>
              <w:widowControl/>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lang w:bidi="ar"/>
              </w:rPr>
            </w:pPr>
            <w:r>
              <w:rPr>
                <w:rFonts w:hint="default" w:ascii="Times New Roman" w:hAnsi="Times New Roman" w:cs="Times New Roman"/>
                <w:color w:val="auto"/>
                <w:kern w:val="0"/>
                <w:lang w:bidi="ar"/>
              </w:rPr>
              <w:t>1.50</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26C9C3EA">
            <w:pPr>
              <w:widowControl/>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lang w:bidi="ar"/>
              </w:rPr>
            </w:pPr>
            <w:r>
              <w:rPr>
                <w:rFonts w:hint="default" w:ascii="Times New Roman" w:hAnsi="Times New Roman" w:cs="Times New Roman"/>
                <w:color w:val="auto"/>
                <w:kern w:val="0"/>
                <w:lang w:bidi="ar"/>
              </w:rPr>
              <w:t>100.00%</w:t>
            </w:r>
          </w:p>
        </w:tc>
      </w:tr>
      <w:tr w14:paraId="060C1706">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6FEBE56">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cs="Times New Roman" w:eastAsiaTheme="minorEastAsia"/>
                <w:color w:val="auto"/>
                <w:kern w:val="0"/>
                <w:sz w:val="21"/>
                <w:szCs w:val="21"/>
                <w:lang w:bidi="ar"/>
              </w:rPr>
            </w:pPr>
          </w:p>
        </w:tc>
        <w:tc>
          <w:tcPr>
            <w:tcW w:w="641"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5E93D8A">
            <w:pPr>
              <w:pageBreakBefore w:val="0"/>
              <w:widowControl/>
              <w:kinsoku/>
              <w:wordWrap/>
              <w:overflowPunct/>
              <w:topLinePunct w:val="0"/>
              <w:autoSpaceDE/>
              <w:autoSpaceDN/>
              <w:bidi w:val="0"/>
              <w:adjustRightInd/>
              <w:snapToGrid w:val="0"/>
              <w:spacing w:before="0" w:after="0" w:line="240" w:lineRule="auto"/>
              <w:ind w:firstLine="0" w:firstLineChars="0"/>
              <w:jc w:val="both"/>
              <w:textAlignment w:val="center"/>
              <w:rPr>
                <w:rFonts w:hint="default" w:ascii="Times New Roman" w:hAnsi="Times New Roman" w:cs="Times New Roman" w:eastAsiaTheme="minorEastAsia"/>
                <w:color w:val="auto"/>
                <w:kern w:val="0"/>
                <w:sz w:val="21"/>
                <w:szCs w:val="21"/>
                <w:lang w:bidi="ar"/>
              </w:rPr>
            </w:pP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C1394FB">
            <w:pPr>
              <w:pageBreakBefore w:val="0"/>
              <w:widowControl/>
              <w:kinsoku/>
              <w:wordWrap/>
              <w:overflowPunct/>
              <w:topLinePunct w:val="0"/>
              <w:autoSpaceDE/>
              <w:autoSpaceDN/>
              <w:bidi w:val="0"/>
              <w:adjustRightInd/>
              <w:snapToGrid w:val="0"/>
              <w:spacing w:before="0" w:after="0" w:line="240" w:lineRule="auto"/>
              <w:ind w:firstLine="0" w:firstLineChars="0"/>
              <w:jc w:val="both"/>
              <w:textAlignment w:val="center"/>
              <w:rPr>
                <w:rFonts w:hint="default" w:ascii="Times New Roman" w:hAnsi="Times New Roman" w:cs="Times New Roman" w:eastAsiaTheme="minorEastAsia"/>
                <w:color w:val="auto"/>
                <w:kern w:val="0"/>
                <w:sz w:val="21"/>
                <w:szCs w:val="21"/>
                <w:lang w:bidi="ar"/>
              </w:rPr>
            </w:pPr>
            <w:r>
              <w:rPr>
                <w:rFonts w:hint="default" w:ascii="Times New Roman" w:hAnsi="Times New Roman" w:cs="Times New Roman" w:eastAsiaTheme="minorEastAsia"/>
                <w:color w:val="auto"/>
                <w:kern w:val="0"/>
                <w:sz w:val="21"/>
                <w:szCs w:val="21"/>
                <w:lang w:bidi="ar"/>
              </w:rPr>
              <w:t>A12立项程序规范性</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7CD4492">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1"/>
                <w:szCs w:val="21"/>
                <w:lang w:bidi="ar"/>
              </w:rPr>
            </w:pPr>
            <w:r>
              <w:rPr>
                <w:rFonts w:hint="default" w:ascii="Times New Roman" w:hAnsi="Times New Roman" w:cs="Times New Roman" w:eastAsiaTheme="minorEastAsia"/>
                <w:color w:val="auto"/>
                <w:kern w:val="0"/>
                <w:sz w:val="21"/>
                <w:szCs w:val="21"/>
                <w:lang w:bidi="ar"/>
              </w:rPr>
              <w:t>合规</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4E4FA1E">
            <w:pPr>
              <w:widowControl/>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lang w:val="en-US" w:eastAsia="zh-CN" w:bidi="ar"/>
              </w:rPr>
            </w:pPr>
            <w:r>
              <w:rPr>
                <w:rFonts w:hint="default" w:ascii="Times New Roman" w:hAnsi="Times New Roman" w:cs="Times New Roman"/>
                <w:color w:val="auto"/>
                <w:kern w:val="0"/>
                <w:lang w:bidi="ar"/>
              </w:rPr>
              <w:t>合规</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0D313FC1">
            <w:pPr>
              <w:widowControl/>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lang w:bidi="ar"/>
              </w:rPr>
            </w:pPr>
            <w:r>
              <w:rPr>
                <w:rFonts w:hint="default" w:ascii="Times New Roman" w:hAnsi="Times New Roman" w:cs="Times New Roman"/>
                <w:color w:val="auto"/>
                <w:kern w:val="0"/>
                <w:lang w:bidi="ar"/>
              </w:rPr>
              <w:t>1.50</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8C3C724">
            <w:pPr>
              <w:widowControl/>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lang w:bidi="ar"/>
              </w:rPr>
            </w:pPr>
            <w:r>
              <w:rPr>
                <w:rFonts w:hint="default" w:ascii="Times New Roman" w:hAnsi="Times New Roman" w:cs="Times New Roman"/>
                <w:color w:val="auto"/>
                <w:kern w:val="0"/>
                <w:lang w:bidi="ar"/>
              </w:rPr>
              <w:t>1.50</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73B82652">
            <w:pPr>
              <w:widowControl/>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lang w:bidi="ar"/>
              </w:rPr>
            </w:pPr>
            <w:r>
              <w:rPr>
                <w:rFonts w:hint="default" w:ascii="Times New Roman" w:hAnsi="Times New Roman" w:cs="Times New Roman"/>
                <w:color w:val="auto"/>
                <w:kern w:val="0"/>
                <w:lang w:bidi="ar"/>
              </w:rPr>
              <w:t>100.00%</w:t>
            </w:r>
          </w:p>
        </w:tc>
      </w:tr>
      <w:tr w14:paraId="63431B29">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749BC40">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cs="Times New Roman" w:eastAsiaTheme="minorEastAsia"/>
                <w:color w:val="auto"/>
                <w:kern w:val="0"/>
                <w:sz w:val="21"/>
                <w:szCs w:val="21"/>
                <w:lang w:bidi="ar"/>
              </w:rPr>
            </w:pPr>
          </w:p>
        </w:tc>
        <w:tc>
          <w:tcPr>
            <w:tcW w:w="641"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B9D91C4">
            <w:pPr>
              <w:pageBreakBefore w:val="0"/>
              <w:widowControl/>
              <w:kinsoku/>
              <w:wordWrap/>
              <w:overflowPunct/>
              <w:topLinePunct w:val="0"/>
              <w:autoSpaceDE/>
              <w:autoSpaceDN/>
              <w:bidi w:val="0"/>
              <w:adjustRightInd/>
              <w:snapToGrid w:val="0"/>
              <w:spacing w:before="0" w:after="0" w:line="240" w:lineRule="auto"/>
              <w:ind w:firstLine="0" w:firstLineChars="0"/>
              <w:jc w:val="both"/>
              <w:textAlignment w:val="center"/>
              <w:rPr>
                <w:rFonts w:hint="default" w:ascii="Times New Roman" w:hAnsi="Times New Roman" w:cs="Times New Roman" w:eastAsiaTheme="minorEastAsia"/>
                <w:color w:val="auto"/>
                <w:kern w:val="0"/>
                <w:sz w:val="21"/>
                <w:szCs w:val="21"/>
                <w:lang w:bidi="ar"/>
              </w:rPr>
            </w:pPr>
            <w:r>
              <w:rPr>
                <w:rFonts w:hint="default" w:ascii="Times New Roman" w:hAnsi="Times New Roman" w:cs="Times New Roman" w:eastAsiaTheme="minorEastAsia"/>
                <w:color w:val="auto"/>
                <w:kern w:val="0"/>
                <w:sz w:val="21"/>
                <w:szCs w:val="21"/>
                <w:lang w:bidi="ar"/>
              </w:rPr>
              <w:t>A2 绩效目标（4.00分）　</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16860EC">
            <w:pPr>
              <w:pageBreakBefore w:val="0"/>
              <w:widowControl/>
              <w:kinsoku/>
              <w:wordWrap/>
              <w:overflowPunct/>
              <w:topLinePunct w:val="0"/>
              <w:autoSpaceDE/>
              <w:autoSpaceDN/>
              <w:bidi w:val="0"/>
              <w:adjustRightInd/>
              <w:snapToGrid w:val="0"/>
              <w:spacing w:before="0" w:after="0" w:line="240" w:lineRule="auto"/>
              <w:ind w:firstLine="0" w:firstLineChars="0"/>
              <w:jc w:val="both"/>
              <w:textAlignment w:val="center"/>
              <w:rPr>
                <w:rFonts w:hint="default" w:ascii="Times New Roman" w:hAnsi="Times New Roman" w:cs="Times New Roman" w:eastAsiaTheme="minorEastAsia"/>
                <w:color w:val="auto"/>
                <w:kern w:val="0"/>
                <w:sz w:val="21"/>
                <w:szCs w:val="21"/>
                <w:lang w:bidi="ar"/>
              </w:rPr>
            </w:pPr>
            <w:r>
              <w:rPr>
                <w:rFonts w:hint="default" w:ascii="Times New Roman" w:hAnsi="Times New Roman" w:cs="Times New Roman" w:eastAsiaTheme="minorEastAsia"/>
                <w:color w:val="auto"/>
                <w:kern w:val="0"/>
                <w:sz w:val="21"/>
                <w:szCs w:val="21"/>
                <w:lang w:bidi="ar"/>
              </w:rPr>
              <w:t>A21绩效目标合理性</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3BA9B41">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1"/>
                <w:szCs w:val="21"/>
                <w:lang w:bidi="ar"/>
              </w:rPr>
            </w:pPr>
            <w:r>
              <w:rPr>
                <w:rFonts w:hint="default" w:ascii="Times New Roman" w:hAnsi="Times New Roman" w:cs="Times New Roman" w:eastAsiaTheme="minorEastAsia"/>
                <w:color w:val="auto"/>
                <w:kern w:val="0"/>
                <w:sz w:val="21"/>
                <w:szCs w:val="21"/>
                <w:lang w:bidi="ar"/>
              </w:rPr>
              <w:t>合理</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03AA8DBE">
            <w:pPr>
              <w:widowControl/>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lang w:val="en-US" w:eastAsia="zh-CN" w:bidi="ar"/>
              </w:rPr>
            </w:pPr>
            <w:r>
              <w:rPr>
                <w:rFonts w:hint="default" w:ascii="Times New Roman" w:hAnsi="Times New Roman" w:cs="Times New Roman"/>
                <w:color w:val="auto"/>
                <w:kern w:val="0"/>
                <w:lang w:bidi="ar"/>
              </w:rPr>
              <w:t>合理</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0757DFD3">
            <w:pPr>
              <w:widowControl/>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lang w:bidi="ar"/>
              </w:rPr>
            </w:pPr>
            <w:r>
              <w:rPr>
                <w:rFonts w:hint="default" w:ascii="Times New Roman" w:hAnsi="Times New Roman" w:cs="Times New Roman"/>
                <w:color w:val="auto"/>
                <w:kern w:val="0"/>
                <w:lang w:bidi="ar"/>
              </w:rPr>
              <w:t>2.00</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3BC9EAE">
            <w:pPr>
              <w:widowControl/>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lang w:bidi="ar"/>
              </w:rPr>
            </w:pPr>
            <w:r>
              <w:rPr>
                <w:rFonts w:hint="default" w:ascii="Times New Roman" w:hAnsi="Times New Roman" w:cs="Times New Roman"/>
                <w:color w:val="auto"/>
                <w:kern w:val="0"/>
                <w:lang w:bidi="ar"/>
              </w:rPr>
              <w:t>2.00</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CCC0D26">
            <w:pPr>
              <w:widowControl/>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lang w:bidi="ar"/>
              </w:rPr>
            </w:pPr>
            <w:r>
              <w:rPr>
                <w:rFonts w:hint="eastAsia" w:cs="Times New Roman"/>
                <w:color w:val="auto"/>
                <w:kern w:val="0"/>
                <w:lang w:val="en-US" w:eastAsia="zh-CN" w:bidi="ar"/>
              </w:rPr>
              <w:t>100</w:t>
            </w:r>
            <w:r>
              <w:rPr>
                <w:rFonts w:hint="default" w:ascii="Times New Roman" w:hAnsi="Times New Roman" w:cs="Times New Roman"/>
                <w:color w:val="auto"/>
                <w:kern w:val="0"/>
                <w:lang w:bidi="ar"/>
              </w:rPr>
              <w:t>.00%</w:t>
            </w:r>
          </w:p>
        </w:tc>
      </w:tr>
      <w:tr w14:paraId="1201F3A5">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F9BDDFD">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cs="Times New Roman" w:eastAsiaTheme="minorEastAsia"/>
                <w:color w:val="auto"/>
                <w:kern w:val="0"/>
                <w:sz w:val="21"/>
                <w:szCs w:val="21"/>
                <w:lang w:bidi="ar"/>
              </w:rPr>
            </w:pPr>
          </w:p>
        </w:tc>
        <w:tc>
          <w:tcPr>
            <w:tcW w:w="641"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8B575FB">
            <w:pPr>
              <w:pageBreakBefore w:val="0"/>
              <w:widowControl/>
              <w:kinsoku/>
              <w:wordWrap/>
              <w:overflowPunct/>
              <w:topLinePunct w:val="0"/>
              <w:autoSpaceDE/>
              <w:autoSpaceDN/>
              <w:bidi w:val="0"/>
              <w:adjustRightInd/>
              <w:snapToGrid w:val="0"/>
              <w:spacing w:before="0" w:after="0" w:line="240" w:lineRule="auto"/>
              <w:ind w:firstLine="0" w:firstLineChars="0"/>
              <w:jc w:val="both"/>
              <w:textAlignment w:val="center"/>
              <w:rPr>
                <w:rFonts w:hint="default" w:ascii="Times New Roman" w:hAnsi="Times New Roman" w:cs="Times New Roman" w:eastAsiaTheme="minorEastAsia"/>
                <w:color w:val="auto"/>
                <w:kern w:val="0"/>
                <w:sz w:val="21"/>
                <w:szCs w:val="21"/>
                <w:lang w:bidi="ar"/>
              </w:rPr>
            </w:pP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C9D0CAB">
            <w:pPr>
              <w:pageBreakBefore w:val="0"/>
              <w:widowControl/>
              <w:kinsoku/>
              <w:wordWrap/>
              <w:overflowPunct/>
              <w:topLinePunct w:val="0"/>
              <w:autoSpaceDE/>
              <w:autoSpaceDN/>
              <w:bidi w:val="0"/>
              <w:adjustRightInd/>
              <w:snapToGrid w:val="0"/>
              <w:spacing w:before="0" w:after="0" w:line="240" w:lineRule="auto"/>
              <w:ind w:firstLine="0" w:firstLineChars="0"/>
              <w:jc w:val="both"/>
              <w:textAlignment w:val="center"/>
              <w:rPr>
                <w:rFonts w:hint="default" w:ascii="Times New Roman" w:hAnsi="Times New Roman" w:cs="Times New Roman" w:eastAsiaTheme="minorEastAsia"/>
                <w:color w:val="auto"/>
                <w:kern w:val="0"/>
                <w:sz w:val="21"/>
                <w:szCs w:val="21"/>
                <w:lang w:bidi="ar"/>
              </w:rPr>
            </w:pPr>
            <w:r>
              <w:rPr>
                <w:rFonts w:hint="default" w:ascii="Times New Roman" w:hAnsi="Times New Roman" w:cs="Times New Roman" w:eastAsiaTheme="minorEastAsia"/>
                <w:color w:val="auto"/>
                <w:kern w:val="0"/>
                <w:sz w:val="21"/>
                <w:szCs w:val="21"/>
                <w:lang w:bidi="ar"/>
              </w:rPr>
              <w:t>A22绩效指标明确性</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499885B">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1"/>
                <w:szCs w:val="21"/>
                <w:lang w:bidi="ar"/>
              </w:rPr>
            </w:pPr>
            <w:r>
              <w:rPr>
                <w:rFonts w:hint="default" w:ascii="Times New Roman" w:hAnsi="Times New Roman" w:cs="Times New Roman" w:eastAsiaTheme="minorEastAsia"/>
                <w:color w:val="auto"/>
                <w:kern w:val="0"/>
                <w:sz w:val="21"/>
                <w:szCs w:val="21"/>
                <w:lang w:bidi="ar"/>
              </w:rPr>
              <w:t>明确</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B0C442B">
            <w:pPr>
              <w:widowControl/>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lang w:val="en-US" w:eastAsia="zh-CN" w:bidi="ar"/>
              </w:rPr>
            </w:pPr>
            <w:r>
              <w:rPr>
                <w:rFonts w:hint="default" w:ascii="Times New Roman" w:hAnsi="Times New Roman" w:cs="Times New Roman"/>
                <w:color w:val="auto"/>
                <w:kern w:val="0"/>
                <w:lang w:bidi="ar"/>
              </w:rPr>
              <w:t>明确</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3B57F41E">
            <w:pPr>
              <w:widowControl/>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lang w:bidi="ar"/>
              </w:rPr>
            </w:pPr>
            <w:r>
              <w:rPr>
                <w:rFonts w:hint="default" w:ascii="Times New Roman" w:hAnsi="Times New Roman" w:cs="Times New Roman"/>
                <w:color w:val="auto"/>
                <w:kern w:val="0"/>
                <w:lang w:bidi="ar"/>
              </w:rPr>
              <w:t>2.00</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5EF9800">
            <w:pPr>
              <w:widowControl/>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lang w:bidi="ar"/>
              </w:rPr>
            </w:pPr>
            <w:r>
              <w:rPr>
                <w:rFonts w:hint="default" w:ascii="Times New Roman" w:hAnsi="Times New Roman" w:cs="Times New Roman"/>
                <w:color w:val="auto"/>
                <w:kern w:val="0"/>
                <w:lang w:val="en-US" w:eastAsia="zh-CN" w:bidi="ar"/>
              </w:rPr>
              <w:t>2</w:t>
            </w:r>
            <w:r>
              <w:rPr>
                <w:rFonts w:hint="default" w:ascii="Times New Roman" w:hAnsi="Times New Roman" w:cs="Times New Roman"/>
                <w:color w:val="auto"/>
                <w:kern w:val="0"/>
                <w:lang w:bidi="ar"/>
              </w:rPr>
              <w:t>.</w:t>
            </w:r>
            <w:r>
              <w:rPr>
                <w:rFonts w:hint="default" w:ascii="Times New Roman" w:hAnsi="Times New Roman" w:cs="Times New Roman"/>
                <w:color w:val="auto"/>
                <w:kern w:val="0"/>
                <w:lang w:val="en-US" w:eastAsia="zh-CN" w:bidi="ar"/>
              </w:rPr>
              <w:t>0</w:t>
            </w:r>
            <w:r>
              <w:rPr>
                <w:rFonts w:hint="default" w:ascii="Times New Roman" w:hAnsi="Times New Roman" w:cs="Times New Roman"/>
                <w:color w:val="auto"/>
                <w:kern w:val="0"/>
                <w:lang w:bidi="ar"/>
              </w:rPr>
              <w:t>0</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D338FDA">
            <w:pPr>
              <w:widowControl/>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lang w:bidi="ar"/>
              </w:rPr>
            </w:pPr>
            <w:r>
              <w:rPr>
                <w:rFonts w:hint="default" w:ascii="Times New Roman" w:hAnsi="Times New Roman" w:cs="Times New Roman"/>
                <w:color w:val="auto"/>
                <w:kern w:val="0"/>
                <w:lang w:val="en-US" w:eastAsia="zh-CN" w:bidi="ar"/>
              </w:rPr>
              <w:t>10</w:t>
            </w:r>
            <w:r>
              <w:rPr>
                <w:rFonts w:hint="default" w:ascii="Times New Roman" w:hAnsi="Times New Roman" w:cs="Times New Roman"/>
                <w:color w:val="auto"/>
                <w:kern w:val="0"/>
                <w:lang w:bidi="ar"/>
              </w:rPr>
              <w:t>0.00%</w:t>
            </w:r>
          </w:p>
        </w:tc>
      </w:tr>
      <w:tr w14:paraId="53FB1B5B">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6EE9A50">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cs="Times New Roman" w:eastAsiaTheme="minorEastAsia"/>
                <w:color w:val="auto"/>
                <w:kern w:val="0"/>
                <w:sz w:val="21"/>
                <w:szCs w:val="21"/>
                <w:lang w:bidi="ar"/>
              </w:rPr>
            </w:pPr>
          </w:p>
        </w:tc>
        <w:tc>
          <w:tcPr>
            <w:tcW w:w="641"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A09F54A">
            <w:pPr>
              <w:pageBreakBefore w:val="0"/>
              <w:widowControl/>
              <w:kinsoku/>
              <w:wordWrap/>
              <w:overflowPunct/>
              <w:topLinePunct w:val="0"/>
              <w:autoSpaceDE/>
              <w:autoSpaceDN/>
              <w:bidi w:val="0"/>
              <w:adjustRightInd/>
              <w:snapToGrid w:val="0"/>
              <w:spacing w:before="0" w:after="0" w:line="240" w:lineRule="auto"/>
              <w:ind w:firstLine="0" w:firstLineChars="0"/>
              <w:jc w:val="both"/>
              <w:textAlignment w:val="center"/>
              <w:rPr>
                <w:rFonts w:hint="default" w:ascii="Times New Roman" w:hAnsi="Times New Roman" w:cs="Times New Roman" w:eastAsiaTheme="minorEastAsia"/>
                <w:color w:val="auto"/>
                <w:kern w:val="0"/>
                <w:sz w:val="21"/>
                <w:szCs w:val="21"/>
                <w:lang w:bidi="ar"/>
              </w:rPr>
            </w:pPr>
            <w:r>
              <w:rPr>
                <w:rFonts w:hint="default" w:ascii="Times New Roman" w:hAnsi="Times New Roman" w:cs="Times New Roman" w:eastAsiaTheme="minorEastAsia"/>
                <w:color w:val="auto"/>
                <w:kern w:val="0"/>
                <w:sz w:val="21"/>
                <w:szCs w:val="21"/>
                <w:lang w:bidi="ar"/>
              </w:rPr>
              <w:t>A3 资金投入（3.00分）</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330EBF0">
            <w:pPr>
              <w:pageBreakBefore w:val="0"/>
              <w:widowControl/>
              <w:kinsoku/>
              <w:wordWrap/>
              <w:overflowPunct/>
              <w:topLinePunct w:val="0"/>
              <w:autoSpaceDE/>
              <w:autoSpaceDN/>
              <w:bidi w:val="0"/>
              <w:adjustRightInd/>
              <w:snapToGrid w:val="0"/>
              <w:spacing w:before="0" w:after="0" w:line="240" w:lineRule="auto"/>
              <w:ind w:firstLine="0" w:firstLineChars="0"/>
              <w:jc w:val="both"/>
              <w:textAlignment w:val="center"/>
              <w:rPr>
                <w:rFonts w:hint="default" w:ascii="Times New Roman" w:hAnsi="Times New Roman" w:cs="Times New Roman" w:eastAsiaTheme="minorEastAsia"/>
                <w:color w:val="auto"/>
                <w:kern w:val="0"/>
                <w:sz w:val="21"/>
                <w:szCs w:val="21"/>
                <w:lang w:bidi="ar"/>
              </w:rPr>
            </w:pPr>
            <w:r>
              <w:rPr>
                <w:rFonts w:hint="default" w:ascii="Times New Roman" w:hAnsi="Times New Roman" w:cs="Times New Roman" w:eastAsiaTheme="minorEastAsia"/>
                <w:color w:val="auto"/>
                <w:kern w:val="0"/>
                <w:sz w:val="21"/>
                <w:szCs w:val="21"/>
                <w:lang w:bidi="ar"/>
              </w:rPr>
              <w:t>A31预算编制科学性</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D5056D8">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1"/>
                <w:szCs w:val="21"/>
                <w:lang w:bidi="ar"/>
              </w:rPr>
            </w:pPr>
            <w:r>
              <w:rPr>
                <w:rFonts w:hint="default" w:ascii="Times New Roman" w:hAnsi="Times New Roman" w:cs="Times New Roman" w:eastAsiaTheme="minorEastAsia"/>
                <w:color w:val="auto"/>
                <w:kern w:val="0"/>
                <w:sz w:val="21"/>
                <w:szCs w:val="21"/>
                <w:lang w:bidi="ar"/>
              </w:rPr>
              <w:t>科学</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1564CAA">
            <w:pPr>
              <w:widowControl/>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lang w:val="en-US" w:eastAsia="zh-CN" w:bidi="ar"/>
              </w:rPr>
            </w:pPr>
            <w:r>
              <w:rPr>
                <w:rFonts w:hint="default" w:ascii="Times New Roman" w:hAnsi="Times New Roman" w:cs="Times New Roman"/>
                <w:color w:val="auto"/>
                <w:kern w:val="0"/>
                <w:lang w:bidi="ar"/>
              </w:rPr>
              <w:t>科学</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24C4F575">
            <w:pPr>
              <w:widowControl/>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lang w:bidi="ar"/>
              </w:rPr>
            </w:pPr>
            <w:r>
              <w:rPr>
                <w:rFonts w:hint="default" w:ascii="Times New Roman" w:hAnsi="Times New Roman" w:cs="Times New Roman"/>
                <w:color w:val="auto"/>
                <w:kern w:val="0"/>
                <w:lang w:bidi="ar"/>
              </w:rPr>
              <w:t>1.50</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A807422">
            <w:pPr>
              <w:widowControl/>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lang w:bidi="ar"/>
              </w:rPr>
            </w:pPr>
            <w:r>
              <w:rPr>
                <w:rFonts w:hint="default" w:ascii="Times New Roman" w:hAnsi="Times New Roman" w:cs="Times New Roman"/>
                <w:color w:val="auto"/>
                <w:kern w:val="0"/>
                <w:lang w:bidi="ar"/>
              </w:rPr>
              <w:t>1.50</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77C6F38">
            <w:pPr>
              <w:widowControl/>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lang w:bidi="ar"/>
              </w:rPr>
            </w:pPr>
            <w:r>
              <w:rPr>
                <w:rFonts w:hint="default" w:ascii="Times New Roman" w:hAnsi="Times New Roman" w:cs="Times New Roman"/>
                <w:color w:val="auto"/>
                <w:kern w:val="0"/>
                <w:lang w:bidi="ar"/>
              </w:rPr>
              <w:t>100.00%</w:t>
            </w:r>
          </w:p>
        </w:tc>
      </w:tr>
      <w:tr w14:paraId="008E8594">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122A76D">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cs="Times New Roman" w:eastAsiaTheme="minorEastAsia"/>
                <w:color w:val="auto"/>
                <w:kern w:val="0"/>
                <w:sz w:val="21"/>
                <w:szCs w:val="21"/>
                <w:lang w:bidi="ar"/>
              </w:rPr>
            </w:pPr>
          </w:p>
        </w:tc>
        <w:tc>
          <w:tcPr>
            <w:tcW w:w="641"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034BBB3">
            <w:pPr>
              <w:pageBreakBefore w:val="0"/>
              <w:widowControl/>
              <w:kinsoku/>
              <w:wordWrap/>
              <w:overflowPunct/>
              <w:topLinePunct w:val="0"/>
              <w:autoSpaceDE/>
              <w:autoSpaceDN/>
              <w:bidi w:val="0"/>
              <w:adjustRightInd/>
              <w:snapToGrid w:val="0"/>
              <w:spacing w:before="0" w:after="0" w:line="240" w:lineRule="auto"/>
              <w:ind w:firstLine="0" w:firstLineChars="0"/>
              <w:jc w:val="both"/>
              <w:textAlignment w:val="center"/>
              <w:rPr>
                <w:rFonts w:hint="default" w:ascii="Times New Roman" w:hAnsi="Times New Roman" w:cs="Times New Roman" w:eastAsiaTheme="minorEastAsia"/>
                <w:color w:val="auto"/>
                <w:kern w:val="0"/>
                <w:sz w:val="21"/>
                <w:szCs w:val="21"/>
                <w:lang w:bidi="ar"/>
              </w:rPr>
            </w:pP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44EAC50">
            <w:pPr>
              <w:pageBreakBefore w:val="0"/>
              <w:widowControl/>
              <w:kinsoku/>
              <w:wordWrap/>
              <w:overflowPunct/>
              <w:topLinePunct w:val="0"/>
              <w:autoSpaceDE/>
              <w:autoSpaceDN/>
              <w:bidi w:val="0"/>
              <w:adjustRightInd/>
              <w:snapToGrid w:val="0"/>
              <w:spacing w:before="0" w:after="0" w:line="240" w:lineRule="auto"/>
              <w:ind w:firstLine="0" w:firstLineChars="0"/>
              <w:jc w:val="both"/>
              <w:textAlignment w:val="center"/>
              <w:rPr>
                <w:rFonts w:hint="default" w:ascii="Times New Roman" w:hAnsi="Times New Roman" w:cs="Times New Roman" w:eastAsiaTheme="minorEastAsia"/>
                <w:color w:val="auto"/>
                <w:kern w:val="0"/>
                <w:sz w:val="21"/>
                <w:szCs w:val="21"/>
                <w:lang w:bidi="ar"/>
              </w:rPr>
            </w:pPr>
            <w:r>
              <w:rPr>
                <w:rFonts w:hint="default" w:ascii="Times New Roman" w:hAnsi="Times New Roman" w:cs="Times New Roman" w:eastAsiaTheme="minorEastAsia"/>
                <w:color w:val="auto"/>
                <w:kern w:val="0"/>
                <w:sz w:val="21"/>
                <w:szCs w:val="21"/>
                <w:lang w:bidi="ar"/>
              </w:rPr>
              <w:t>A32资金分配合理性</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EDF46E1">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1"/>
                <w:szCs w:val="21"/>
                <w:lang w:bidi="ar"/>
              </w:rPr>
            </w:pPr>
            <w:r>
              <w:rPr>
                <w:rFonts w:hint="default" w:ascii="Times New Roman" w:hAnsi="Times New Roman" w:cs="Times New Roman" w:eastAsiaTheme="minorEastAsia"/>
                <w:color w:val="auto"/>
                <w:kern w:val="0"/>
                <w:sz w:val="21"/>
                <w:szCs w:val="21"/>
                <w:lang w:bidi="ar"/>
              </w:rPr>
              <w:t>合理</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7392318E">
            <w:pPr>
              <w:widowControl/>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lang w:val="en-US" w:eastAsia="zh-CN" w:bidi="ar"/>
              </w:rPr>
            </w:pPr>
            <w:r>
              <w:rPr>
                <w:rFonts w:hint="default" w:ascii="Times New Roman" w:hAnsi="Times New Roman" w:cs="Times New Roman"/>
                <w:color w:val="auto"/>
                <w:kern w:val="0"/>
                <w:lang w:bidi="ar"/>
              </w:rPr>
              <w:t>合理</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8840833">
            <w:pPr>
              <w:widowControl/>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lang w:bidi="ar"/>
              </w:rPr>
            </w:pPr>
            <w:r>
              <w:rPr>
                <w:rFonts w:hint="default" w:ascii="Times New Roman" w:hAnsi="Times New Roman" w:cs="Times New Roman"/>
                <w:color w:val="auto"/>
                <w:kern w:val="0"/>
                <w:lang w:bidi="ar"/>
              </w:rPr>
              <w:t>1.50</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C89A81D">
            <w:pPr>
              <w:widowControl/>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lang w:bidi="ar"/>
              </w:rPr>
            </w:pPr>
            <w:r>
              <w:rPr>
                <w:rFonts w:hint="default" w:ascii="Times New Roman" w:hAnsi="Times New Roman" w:cs="Times New Roman"/>
                <w:color w:val="auto"/>
                <w:kern w:val="0"/>
                <w:lang w:bidi="ar"/>
              </w:rPr>
              <w:t>1.50</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3EFD58FA">
            <w:pPr>
              <w:widowControl/>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lang w:bidi="ar"/>
              </w:rPr>
            </w:pPr>
            <w:r>
              <w:rPr>
                <w:rFonts w:hint="default" w:ascii="Times New Roman" w:hAnsi="Times New Roman" w:cs="Times New Roman"/>
                <w:color w:val="auto"/>
                <w:kern w:val="0"/>
                <w:lang w:bidi="ar"/>
              </w:rPr>
              <w:t>100.00%</w:t>
            </w:r>
          </w:p>
        </w:tc>
      </w:tr>
      <w:tr w14:paraId="1A0D723F">
        <w:tblPrEx>
          <w:tblCellMar>
            <w:top w:w="0" w:type="dxa"/>
            <w:left w:w="0" w:type="dxa"/>
            <w:bottom w:w="0" w:type="dxa"/>
            <w:right w:w="0" w:type="dxa"/>
          </w:tblCellMar>
        </w:tblPrEx>
        <w:trPr>
          <w:trHeight w:val="377" w:hRule="atLeast"/>
        </w:trPr>
        <w:tc>
          <w:tcPr>
            <w:tcW w:w="2400" w:type="pct"/>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E0C4AE9">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1"/>
                <w:szCs w:val="21"/>
                <w:lang w:bidi="ar"/>
              </w:rPr>
            </w:pPr>
            <w:r>
              <w:rPr>
                <w:rFonts w:hint="default" w:ascii="Times New Roman" w:hAnsi="Times New Roman" w:cs="Times New Roman" w:eastAsiaTheme="minorEastAsia"/>
                <w:color w:val="auto"/>
                <w:kern w:val="0"/>
                <w:sz w:val="21"/>
                <w:szCs w:val="21"/>
                <w:lang w:bidi="ar"/>
              </w:rPr>
              <w:t>合计</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B22BD88">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1"/>
                <w:szCs w:val="21"/>
                <w:lang w:bidi="ar"/>
              </w:rPr>
            </w:pP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29CA979E">
            <w:pPr>
              <w:spacing w:line="240" w:lineRule="auto"/>
              <w:ind w:firstLine="420" w:firstLineChars="200"/>
              <w:jc w:val="center"/>
              <w:rPr>
                <w:rFonts w:hint="default" w:ascii="Times New Roman" w:hAnsi="Times New Roman" w:cs="Times New Roman" w:eastAsiaTheme="minorEastAsia"/>
                <w:color w:val="auto"/>
                <w:kern w:val="0"/>
                <w:sz w:val="21"/>
                <w:szCs w:val="21"/>
                <w:lang w:val="en-US" w:eastAsia="zh-CN" w:bidi="ar"/>
              </w:rPr>
            </w:pP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F41AA11">
            <w:pPr>
              <w:widowControl/>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lang w:bidi="ar"/>
              </w:rPr>
            </w:pPr>
            <w:r>
              <w:rPr>
                <w:rFonts w:hint="default" w:ascii="Times New Roman" w:hAnsi="Times New Roman" w:cs="Times New Roman"/>
                <w:b/>
                <w:bCs/>
                <w:color w:val="auto"/>
                <w:kern w:val="0"/>
                <w:lang w:bidi="ar"/>
              </w:rPr>
              <w:t>10.00</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87C4024">
            <w:pPr>
              <w:widowControl/>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lang w:bidi="ar"/>
              </w:rPr>
            </w:pPr>
            <w:r>
              <w:rPr>
                <w:rFonts w:hint="default" w:ascii="Times New Roman" w:hAnsi="Times New Roman" w:cs="Times New Roman"/>
                <w:b/>
                <w:bCs/>
                <w:color w:val="auto"/>
                <w:kern w:val="0"/>
                <w:lang w:bidi="ar"/>
              </w:rPr>
              <w:t>10.00</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0E288C0F">
            <w:pPr>
              <w:widowControl/>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lang w:bidi="ar"/>
              </w:rPr>
            </w:pPr>
            <w:r>
              <w:rPr>
                <w:rFonts w:hint="eastAsia" w:cs="Times New Roman"/>
                <w:b/>
                <w:bCs/>
                <w:color w:val="auto"/>
                <w:kern w:val="0"/>
                <w:lang w:val="en-US" w:eastAsia="zh-CN" w:bidi="ar"/>
              </w:rPr>
              <w:t>100</w:t>
            </w:r>
            <w:r>
              <w:rPr>
                <w:rFonts w:hint="default" w:ascii="Times New Roman" w:hAnsi="Times New Roman" w:cs="Times New Roman"/>
                <w:b/>
                <w:bCs/>
                <w:color w:val="auto"/>
                <w:kern w:val="0"/>
                <w:lang w:bidi="ar"/>
              </w:rPr>
              <w:t>.00%</w:t>
            </w:r>
          </w:p>
        </w:tc>
      </w:tr>
    </w:tbl>
    <w:p w14:paraId="10B077E9">
      <w:pPr>
        <w:pageBreakBefore w:val="0"/>
        <w:kinsoku/>
        <w:wordWrap/>
        <w:overflowPunct/>
        <w:topLinePunct w:val="0"/>
        <w:autoSpaceDE/>
        <w:autoSpaceDN/>
        <w:bidi w:val="0"/>
        <w:snapToGrid w:val="0"/>
        <w:spacing w:before="0" w:after="0" w:line="240" w:lineRule="auto"/>
        <w:ind w:firstLine="422"/>
        <w:rPr>
          <w:rFonts w:ascii="Times New Roman" w:hAnsi="Times New Roman" w:eastAsia="宋体" w:cs="Times New Roman"/>
          <w:b/>
          <w:bCs/>
          <w:color w:val="auto"/>
        </w:rPr>
      </w:pPr>
    </w:p>
    <w:p w14:paraId="362E689E">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eastAsiaTheme="minorEastAsia"/>
          <w:b/>
          <w:bCs/>
          <w:color w:val="auto"/>
        </w:rPr>
        <w:t>指标得分分析</w:t>
      </w:r>
      <w:r>
        <w:rPr>
          <w:rFonts w:hint="default" w:ascii="Times New Roman" w:hAnsi="Times New Roman" w:cs="Times New Roman"/>
          <w:b/>
          <w:bCs/>
          <w:color w:val="auto"/>
        </w:rPr>
        <w:t>：</w:t>
      </w:r>
    </w:p>
    <w:p w14:paraId="708FBC01">
      <w:pPr>
        <w:pageBreakBefore w:val="0"/>
        <w:kinsoku/>
        <w:wordWrap/>
        <w:overflowPunct/>
        <w:topLinePunct w:val="0"/>
        <w:autoSpaceDE/>
        <w:autoSpaceDN/>
        <w:bidi w:val="0"/>
        <w:snapToGrid w:val="0"/>
        <w:spacing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（1）A11立项依据充分性指标：</w:t>
      </w:r>
    </w:p>
    <w:p w14:paraId="26D42060">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lang w:val="zh-TW" w:eastAsia="zh-TW"/>
        </w:rPr>
      </w:pPr>
      <w:r>
        <w:rPr>
          <w:rFonts w:hint="default" w:ascii="Times New Roman" w:hAnsi="Times New Roman" w:cs="Times New Roman"/>
          <w:color w:val="auto"/>
          <w:lang w:val="zh-TW" w:eastAsia="zh-TW"/>
        </w:rPr>
        <w:t>①</w:t>
      </w:r>
      <w:r>
        <w:rPr>
          <w:rFonts w:hint="default" w:ascii="Times New Roman" w:hAnsi="Times New Roman" w:cs="Times New Roman"/>
          <w:color w:val="auto"/>
          <w:lang w:val="zh-TW" w:eastAsia="zh-CN"/>
        </w:rPr>
        <w:t>伊宁县</w:t>
      </w:r>
      <w:r>
        <w:rPr>
          <w:rFonts w:hint="default" w:ascii="Times New Roman" w:hAnsi="Times New Roman" w:cs="Times New Roman"/>
          <w:color w:val="auto"/>
          <w:lang w:val="zh-TW" w:eastAsia="zh-TW"/>
        </w:rPr>
        <w:t>民政局根据《民政部办公厅关于印发</w:t>
      </w:r>
      <w:r>
        <w:rPr>
          <w:rFonts w:hint="eastAsia" w:cs="Times New Roman"/>
          <w:color w:val="auto"/>
          <w:lang w:val="zh-TW" w:eastAsia="zh-CN"/>
        </w:rPr>
        <w:t>〈</w:t>
      </w:r>
      <w:r>
        <w:rPr>
          <w:rFonts w:hint="default" w:ascii="Times New Roman" w:hAnsi="Times New Roman" w:cs="Times New Roman"/>
          <w:color w:val="auto"/>
          <w:lang w:val="zh-TW" w:eastAsia="zh-TW"/>
        </w:rPr>
        <w:t>“福彩圆梦•孤儿助学工程”项目实施暂行办法</w:t>
      </w:r>
      <w:r>
        <w:rPr>
          <w:rFonts w:hint="eastAsia" w:cs="Times New Roman"/>
          <w:color w:val="auto"/>
          <w:lang w:val="zh-TW" w:eastAsia="zh-CN"/>
        </w:rPr>
        <w:t>〉的通知》</w:t>
      </w:r>
      <w:r>
        <w:rPr>
          <w:rFonts w:hint="default" w:ascii="Times New Roman" w:hAnsi="Times New Roman" w:cs="Times New Roman"/>
          <w:color w:val="auto"/>
          <w:lang w:val="zh-TW" w:eastAsia="zh-TW"/>
        </w:rPr>
        <w:t>（民办发〔2019〕24号）精神，按照《民政部彩票公益金使用管理办法》关于福利彩票公益金用于“扶老、助残、救孤、济困”有关规定，组织实施</w:t>
      </w:r>
      <w:r>
        <w:rPr>
          <w:rFonts w:hint="default" w:ascii="Times New Roman" w:hAnsi="Times New Roman" w:cs="Times New Roman"/>
          <w:color w:val="auto"/>
          <w:lang w:val="zh-TW" w:eastAsia="zh-CN"/>
        </w:rPr>
        <w:t>伊宁县</w:t>
      </w:r>
      <w:r>
        <w:rPr>
          <w:rFonts w:hint="default" w:ascii="Times New Roman" w:hAnsi="Times New Roman" w:cs="Times New Roman"/>
          <w:color w:val="auto"/>
          <w:lang w:val="zh-TW" w:eastAsia="zh-TW"/>
        </w:rPr>
        <w:t>“福彩圆梦·孤儿助学工程”项目，项目的立项符合国家有关政策的要求。</w:t>
      </w:r>
    </w:p>
    <w:p w14:paraId="651E9650">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lang w:val="zh-TW" w:eastAsia="zh-TW"/>
        </w:rPr>
      </w:pPr>
      <w:r>
        <w:rPr>
          <w:rFonts w:hint="default" w:ascii="Times New Roman" w:hAnsi="Times New Roman" w:cs="Times New Roman"/>
          <w:color w:val="auto"/>
          <w:lang w:val="zh-TW" w:eastAsia="zh-TW"/>
        </w:rPr>
        <w:t>②该项目实施与</w:t>
      </w:r>
      <w:r>
        <w:rPr>
          <w:rFonts w:hint="default" w:ascii="Times New Roman" w:hAnsi="Times New Roman" w:cs="Times New Roman"/>
          <w:color w:val="auto"/>
          <w:lang w:val="zh-TW" w:eastAsia="zh-CN"/>
        </w:rPr>
        <w:t>伊宁县</w:t>
      </w:r>
      <w:r>
        <w:rPr>
          <w:rFonts w:hint="default" w:ascii="Times New Roman" w:hAnsi="Times New Roman" w:cs="Times New Roman"/>
          <w:color w:val="auto"/>
          <w:lang w:val="zh-TW" w:eastAsia="zh-TW"/>
        </w:rPr>
        <w:t>民政局“贯彻执行社会救助政策和标准，健全城乡社会救助体系，指导有意愿的特困老人集中供养和孤儿集中收养；落实社会保障兜底脱贫政策和标准，指导城乡最低生活保障、临时救助。”这一部门职责范围相符，属于部门履职所需。</w:t>
      </w:r>
    </w:p>
    <w:p w14:paraId="11B16D78">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lang w:val="zh-TW" w:eastAsia="zh-TW"/>
        </w:rPr>
      </w:pPr>
      <w:r>
        <w:rPr>
          <w:rFonts w:hint="default" w:ascii="Times New Roman" w:hAnsi="Times New Roman" w:cs="Times New Roman"/>
          <w:color w:val="auto"/>
          <w:lang w:val="zh-TW" w:eastAsia="zh-TW"/>
        </w:rPr>
        <w:t>③该项目属于公共财政支持范围，符合中央、地方事权支出责任划分原则。</w:t>
      </w:r>
    </w:p>
    <w:p w14:paraId="42524EC5">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lang w:val="zh-TW" w:eastAsia="zh-TW"/>
        </w:rPr>
      </w:pPr>
      <w:r>
        <w:rPr>
          <w:rFonts w:hint="default" w:ascii="Times New Roman" w:hAnsi="Times New Roman" w:cs="Times New Roman"/>
          <w:color w:val="auto"/>
          <w:lang w:val="zh-TW" w:eastAsia="zh-TW"/>
        </w:rPr>
        <w:t>④</w:t>
      </w:r>
      <w:r>
        <w:rPr>
          <w:color w:val="auto"/>
        </w:rPr>
        <w:t>经查询伊宁县202</w:t>
      </w:r>
      <w:r>
        <w:rPr>
          <w:rFonts w:hint="eastAsia"/>
          <w:color w:val="auto"/>
          <w:lang w:val="en-US" w:eastAsia="zh-CN"/>
        </w:rPr>
        <w:t>4</w:t>
      </w:r>
      <w:r>
        <w:rPr>
          <w:color w:val="auto"/>
        </w:rPr>
        <w:t>年财政预算绩效项目数据以及同年其他项目，不存在部门内部相关项目重复。</w:t>
      </w:r>
    </w:p>
    <w:p w14:paraId="176F44B9">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lang w:val="zh-TW" w:eastAsia="zh-TW"/>
        </w:rPr>
      </w:pPr>
      <w:r>
        <w:rPr>
          <w:rFonts w:hint="default" w:ascii="Times New Roman" w:hAnsi="Times New Roman" w:cs="Times New Roman"/>
          <w:color w:val="auto"/>
          <w:lang w:val="zh-TW" w:eastAsia="zh-TW"/>
        </w:rPr>
        <w:t>该指标满分为1.50分，根据评分标准得1.50分。</w:t>
      </w:r>
    </w:p>
    <w:p w14:paraId="584EA2F5">
      <w:pPr>
        <w:widowControl/>
        <w:spacing w:line="360" w:lineRule="auto"/>
        <w:ind w:firstLine="422"/>
        <w:jc w:val="left"/>
        <w:rPr>
          <w:rFonts w:hint="default" w:ascii="Times New Roman" w:hAnsi="Times New Roman" w:cs="Times New Roman" w:eastAsiaTheme="minorEastAsia"/>
          <w:color w:val="auto"/>
        </w:rPr>
      </w:pPr>
      <w:r>
        <w:rPr>
          <w:rFonts w:hint="default" w:ascii="Times New Roman" w:hAnsi="Times New Roman" w:cs="Times New Roman"/>
          <w:b/>
          <w:bCs/>
          <w:color w:val="auto"/>
        </w:rPr>
        <w:t>（2）A12立项程序规范性指标：</w:t>
      </w:r>
    </w:p>
    <w:p w14:paraId="0DD620D1">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lang w:val="zh-TW" w:eastAsia="zh-TW"/>
        </w:rPr>
      </w:pPr>
      <w:r>
        <w:rPr>
          <w:rFonts w:hint="default" w:ascii="Times New Roman" w:hAnsi="Times New Roman" w:cs="Times New Roman"/>
          <w:color w:val="auto"/>
          <w:lang w:val="zh-TW" w:eastAsia="zh-TW"/>
        </w:rPr>
        <w:t>根据</w:t>
      </w:r>
      <w:r>
        <w:rPr>
          <w:rFonts w:hint="default" w:ascii="Times New Roman" w:hAnsi="Times New Roman" w:cs="Times New Roman"/>
          <w:color w:val="auto"/>
          <w:lang w:val="zh-TW" w:eastAsia="zh-CN"/>
        </w:rPr>
        <w:t>《关于提前下达2024年中央专项彩票公益金支持地方社会公益事业发展（社会福利）资金预算的通知》（伊州财综〔2023〕36号）</w:t>
      </w:r>
      <w:r>
        <w:rPr>
          <w:rFonts w:hint="default" w:ascii="Times New Roman" w:hAnsi="Times New Roman" w:cs="Times New Roman"/>
          <w:color w:val="auto"/>
          <w:lang w:val="zh-TW" w:eastAsia="zh-TW"/>
        </w:rPr>
        <w:t>分配下达</w:t>
      </w:r>
      <w:r>
        <w:rPr>
          <w:rFonts w:hint="default" w:ascii="Times New Roman" w:hAnsi="Times New Roman" w:cs="Times New Roman"/>
          <w:color w:val="auto"/>
          <w:lang w:val="zh-TW" w:eastAsia="zh-CN"/>
        </w:rPr>
        <w:t>伊宁县2024</w:t>
      </w:r>
      <w:r>
        <w:rPr>
          <w:rFonts w:hint="default" w:ascii="Times New Roman" w:hAnsi="Times New Roman" w:cs="Times New Roman"/>
          <w:color w:val="auto"/>
          <w:lang w:val="zh-TW" w:eastAsia="zh-TW"/>
        </w:rPr>
        <w:t>年中央彩票公益金，</w:t>
      </w:r>
      <w:r>
        <w:rPr>
          <w:rFonts w:hint="default" w:ascii="Times New Roman" w:hAnsi="Times New Roman" w:cs="Times New Roman"/>
          <w:color w:val="auto"/>
          <w:lang w:val="zh-TW" w:eastAsia="zh-CN"/>
        </w:rPr>
        <w:t>伊宁县</w:t>
      </w:r>
      <w:r>
        <w:rPr>
          <w:rFonts w:hint="default" w:ascii="Times New Roman" w:hAnsi="Times New Roman" w:cs="Times New Roman"/>
          <w:color w:val="auto"/>
          <w:lang w:val="zh-TW" w:eastAsia="zh-TW"/>
        </w:rPr>
        <w:t>民政局根据《民政部办公厅“福彩圆梦·孤儿助学工程”项目实施暂行办法》文件结合</w:t>
      </w:r>
      <w:r>
        <w:rPr>
          <w:rFonts w:hint="default" w:ascii="Times New Roman" w:hAnsi="Times New Roman" w:cs="Times New Roman"/>
          <w:color w:val="auto"/>
          <w:lang w:val="zh-TW" w:eastAsia="zh-CN"/>
        </w:rPr>
        <w:t>伊宁县</w:t>
      </w:r>
      <w:r>
        <w:rPr>
          <w:rFonts w:hint="default" w:ascii="Times New Roman" w:hAnsi="Times New Roman" w:cs="Times New Roman"/>
          <w:color w:val="auto"/>
          <w:lang w:val="zh-TW" w:eastAsia="zh-TW"/>
        </w:rPr>
        <w:t>实际情况，组织实施</w:t>
      </w:r>
      <w:r>
        <w:rPr>
          <w:rFonts w:hint="default" w:ascii="Times New Roman" w:hAnsi="Times New Roman" w:cs="Times New Roman"/>
          <w:color w:val="auto"/>
          <w:lang w:val="zh-TW" w:eastAsia="zh-CN"/>
        </w:rPr>
        <w:t>伊宁县</w:t>
      </w:r>
      <w:r>
        <w:rPr>
          <w:rFonts w:hint="default" w:ascii="Times New Roman" w:hAnsi="Times New Roman" w:cs="Times New Roman"/>
          <w:color w:val="auto"/>
          <w:lang w:val="zh-TW" w:eastAsia="zh-TW"/>
        </w:rPr>
        <w:t>开展实施“</w:t>
      </w:r>
      <w:r>
        <w:rPr>
          <w:rFonts w:hint="default" w:ascii="Times New Roman" w:hAnsi="Times New Roman" w:cs="Times New Roman"/>
          <w:color w:val="auto"/>
          <w:lang w:val="zh-TW" w:eastAsia="zh-CN"/>
        </w:rPr>
        <w:t>福彩圆梦孤儿助学工程</w:t>
      </w:r>
      <w:r>
        <w:rPr>
          <w:rFonts w:hint="default" w:ascii="Times New Roman" w:hAnsi="Times New Roman" w:cs="Times New Roman"/>
          <w:color w:val="auto"/>
          <w:lang w:val="zh-TW" w:eastAsia="zh-TW"/>
        </w:rPr>
        <w:t>”项目。项目按上级安排的中央专项彩票公益金申请设立项目，立项程序规范。</w:t>
      </w:r>
    </w:p>
    <w:p w14:paraId="479AF561">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lang w:val="zh-TW" w:eastAsia="zh-TW"/>
        </w:rPr>
      </w:pPr>
      <w:r>
        <w:rPr>
          <w:rFonts w:hint="default" w:ascii="Times New Roman" w:hAnsi="Times New Roman" w:cs="Times New Roman"/>
          <w:color w:val="auto"/>
          <w:lang w:val="zh-TW" w:eastAsia="zh-TW"/>
        </w:rPr>
        <w:t>该指标满分为1.50分，根据评分标准得1.50分。</w:t>
      </w:r>
    </w:p>
    <w:p w14:paraId="2B6C7BA0">
      <w:pPr>
        <w:widowControl/>
        <w:spacing w:line="360" w:lineRule="auto"/>
        <w:ind w:firstLine="422"/>
        <w:jc w:val="left"/>
        <w:rPr>
          <w:rFonts w:hint="default" w:ascii="Times New Roman" w:hAnsi="Times New Roman" w:cs="Times New Roman"/>
          <w:b/>
          <w:bCs/>
          <w:color w:val="auto"/>
          <w:highlight w:val="none"/>
        </w:rPr>
      </w:pPr>
      <w:r>
        <w:rPr>
          <w:rFonts w:hint="eastAsia" w:cs="Times New Roman"/>
          <w:b/>
          <w:bCs/>
          <w:color w:val="auto"/>
          <w:highlight w:val="none"/>
          <w:lang w:eastAsia="zh-CN"/>
        </w:rPr>
        <w:t>（3）</w:t>
      </w:r>
      <w:r>
        <w:rPr>
          <w:rFonts w:hint="default" w:ascii="Times New Roman" w:hAnsi="Times New Roman" w:cs="Times New Roman"/>
          <w:b/>
          <w:bCs/>
          <w:color w:val="auto"/>
          <w:highlight w:val="none"/>
        </w:rPr>
        <w:t>A21绩效目标合理性指标：</w:t>
      </w:r>
    </w:p>
    <w:p w14:paraId="4D70C4F5">
      <w:pPr>
        <w:pageBreakBefore w:val="0"/>
        <w:kinsoku/>
        <w:wordWrap/>
        <w:overflowPunct/>
        <w:topLinePunct w:val="0"/>
        <w:autoSpaceDE/>
        <w:autoSpaceDN/>
        <w:bidi w:val="0"/>
        <w:snapToGrid w:val="0"/>
        <w:spacing w:before="0" w:after="0" w:line="360" w:lineRule="auto"/>
        <w:ind w:firstLine="420"/>
      </w:pPr>
      <w:r>
        <w:rPr>
          <w:rFonts w:hint="eastAsia"/>
        </w:rPr>
        <w:t>①根据项目实施单位《项目绩效目标表》，项目年度总体目标为“根据《关于下达2024年中央彩票公益金支持地方社会公益事业发展（社会福利）补助资金预算的通知》（伊州财综〔2023〕36号）文件附带的区域目标，结合伊宁县实际情况，设置如下指标：2024年该项目计划完成</w:t>
      </w:r>
      <w:r>
        <w:rPr>
          <w:rFonts w:hint="eastAsia"/>
          <w:lang w:eastAsia="zh-CN"/>
        </w:rPr>
        <w:t>“</w:t>
      </w:r>
      <w:r>
        <w:rPr>
          <w:rFonts w:hint="eastAsia"/>
          <w:lang w:val="en-US" w:eastAsia="zh-CN"/>
        </w:rPr>
        <w:t>福</w:t>
      </w:r>
      <w:r>
        <w:rPr>
          <w:rFonts w:hint="eastAsia"/>
        </w:rPr>
        <w:t>彩圆梦·孤儿助学工程”助学单位1个、资助“福彩圆梦助学工程”项目保障人数至少18人、资助每位儿童助学费用不超过1万元/人·年。受助儿童毕业率不低于90</w:t>
      </w:r>
      <w:r>
        <w:rPr>
          <w:rFonts w:hint="eastAsia"/>
          <w:lang w:val="en-US" w:eastAsia="zh-CN"/>
        </w:rPr>
        <w:t>.00</w:t>
      </w:r>
      <w:r>
        <w:rPr>
          <w:rFonts w:hint="eastAsia"/>
        </w:rPr>
        <w:t>%，助学金按月或按季社会化发放及时率不低于90</w:t>
      </w:r>
      <w:r>
        <w:rPr>
          <w:rFonts w:hint="eastAsia"/>
          <w:lang w:val="en-US" w:eastAsia="zh-CN"/>
        </w:rPr>
        <w:t>.00</w:t>
      </w:r>
      <w:r>
        <w:rPr>
          <w:rFonts w:hint="eastAsia"/>
        </w:rPr>
        <w:t>%。通过该项目的实施，提升孤儿教育水平，受益孤儿满意度不低于90</w:t>
      </w:r>
      <w:r>
        <w:rPr>
          <w:rFonts w:hint="eastAsia"/>
          <w:lang w:val="en-US" w:eastAsia="zh-CN"/>
        </w:rPr>
        <w:t>.00</w:t>
      </w:r>
      <w:r>
        <w:rPr>
          <w:rFonts w:hint="eastAsia"/>
        </w:rPr>
        <w:t>%。”</w:t>
      </w:r>
    </w:p>
    <w:p w14:paraId="5D23BF54">
      <w:pPr>
        <w:spacing w:line="360" w:lineRule="auto"/>
        <w:ind w:firstLine="420"/>
      </w:pPr>
      <w:r>
        <w:rPr>
          <w:rFonts w:hint="eastAsia"/>
        </w:rPr>
        <w:t>②根据项目资金申报及审核拨付的过程文件等资料，该项目资金用于“福彩圆梦·孤儿助学工程”项目</w:t>
      </w:r>
      <w:r>
        <w:rPr>
          <w:rFonts w:hint="eastAsia"/>
          <w:lang w:val="en-US" w:eastAsia="zh-CN"/>
        </w:rPr>
        <w:t>补助</w:t>
      </w:r>
      <w:r>
        <w:rPr>
          <w:rFonts w:hint="eastAsia"/>
        </w:rPr>
        <w:t>资金的发放，项目绩效目标与实际工作内容具有相关性。</w:t>
      </w:r>
    </w:p>
    <w:p w14:paraId="4458E06B">
      <w:pPr>
        <w:spacing w:line="360" w:lineRule="auto"/>
        <w:ind w:firstLine="420"/>
        <w:rPr>
          <w:color w:val="auto"/>
        </w:rPr>
      </w:pPr>
      <w:r>
        <w:rPr>
          <w:rFonts w:hint="eastAsia"/>
          <w:color w:val="auto"/>
        </w:rPr>
        <w:t>③该项目通过补助资金发放，提升孤儿学生完学率提升，</w:t>
      </w:r>
      <w:r>
        <w:rPr>
          <w:rFonts w:hint="eastAsia"/>
          <w:color w:val="auto"/>
          <w:lang w:val="en-US" w:eastAsia="zh-CN"/>
        </w:rPr>
        <w:t>有效提升</w:t>
      </w:r>
      <w:r>
        <w:rPr>
          <w:rFonts w:hint="eastAsia"/>
          <w:color w:val="auto"/>
        </w:rPr>
        <w:t>孤儿教育水平</w:t>
      </w:r>
      <w:r>
        <w:rPr>
          <w:rFonts w:hint="eastAsia"/>
          <w:color w:val="auto"/>
          <w:lang w:eastAsia="zh-CN"/>
        </w:rPr>
        <w:t>，</w:t>
      </w:r>
      <w:r>
        <w:rPr>
          <w:rFonts w:hint="eastAsia"/>
          <w:color w:val="auto"/>
        </w:rPr>
        <w:t>项目预期产出效益和效果根据项目的实际用途设置，符合正常的业绩水平。</w:t>
      </w:r>
    </w:p>
    <w:p w14:paraId="004D204E">
      <w:pPr>
        <w:spacing w:line="360" w:lineRule="auto"/>
        <w:ind w:firstLine="420"/>
        <w:rPr>
          <w:color w:val="auto"/>
        </w:rPr>
      </w:pPr>
      <w:r>
        <w:rPr>
          <w:rFonts w:hint="eastAsia"/>
          <w:color w:val="auto"/>
        </w:rPr>
        <w:t>④经查阅项目资金下达文件，该</w:t>
      </w:r>
      <w:r>
        <w:rPr>
          <w:rFonts w:hint="eastAsia"/>
          <w:color w:val="auto"/>
          <w:lang w:eastAsia="zh-CN"/>
        </w:rPr>
        <w:t>项目</w:t>
      </w:r>
      <w:r>
        <w:rPr>
          <w:rFonts w:hint="eastAsia"/>
          <w:color w:val="auto"/>
        </w:rPr>
        <w:t>到位资金</w:t>
      </w:r>
      <w:r>
        <w:rPr>
          <w:rFonts w:hint="eastAsia"/>
          <w:color w:val="auto"/>
          <w:lang w:val="en-US" w:eastAsia="zh-CN"/>
        </w:rPr>
        <w:t>18</w:t>
      </w:r>
      <w:r>
        <w:rPr>
          <w:rFonts w:hint="eastAsia"/>
          <w:color w:val="auto"/>
        </w:rPr>
        <w:t>.00万元。根据《项目支出绩效目标表》，绩效目标表填报的预算资金总额度与到位资金一致，故绩效目标确定的预算与预算确定的项目资金量匹配。</w:t>
      </w:r>
    </w:p>
    <w:p w14:paraId="03A1B115">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lang w:val="zh-TW" w:eastAsia="zh-TW"/>
        </w:rPr>
      </w:pPr>
      <w:r>
        <w:rPr>
          <w:rFonts w:hint="default" w:ascii="Times New Roman" w:hAnsi="Times New Roman" w:cs="Times New Roman"/>
          <w:color w:val="auto"/>
          <w:lang w:val="zh-TW" w:eastAsia="zh-TW"/>
        </w:rPr>
        <w:t>该指标满分为2.00分，根据评分标准得2.00分。</w:t>
      </w:r>
    </w:p>
    <w:p w14:paraId="17133C27">
      <w:pPr>
        <w:widowControl/>
        <w:spacing w:line="360" w:lineRule="auto"/>
        <w:ind w:firstLine="422"/>
        <w:jc w:val="left"/>
        <w:rPr>
          <w:rFonts w:hint="default" w:ascii="Times New Roman" w:hAnsi="Times New Roman" w:cs="Times New Roman"/>
          <w:b/>
          <w:bCs/>
          <w:color w:val="auto"/>
        </w:rPr>
      </w:pPr>
      <w:r>
        <w:rPr>
          <w:rFonts w:hint="default" w:ascii="Times New Roman" w:hAnsi="Times New Roman" w:cs="Times New Roman"/>
          <w:b/>
          <w:bCs/>
          <w:color w:val="auto"/>
        </w:rPr>
        <w:t>（4）A22绩效指标明确性指标：</w:t>
      </w:r>
    </w:p>
    <w:p w14:paraId="6EFCAD28">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lang w:val="zh-TW" w:eastAsia="zh-TW"/>
        </w:rPr>
      </w:pPr>
      <w:r>
        <w:rPr>
          <w:rFonts w:hint="default" w:ascii="Times New Roman" w:hAnsi="Times New Roman" w:cs="Times New Roman"/>
          <w:color w:val="auto"/>
          <w:lang w:val="zh-TW" w:eastAsia="zh-TW"/>
        </w:rPr>
        <w:t>经查阅项目单位提供的《项目支出绩效目标表》，项目实施单位已将绩效目标分解为具体的绩效指标，绩效目标设置内容与预算批复项目实施内容一致具有相关性。该项目共设置三级指标</w:t>
      </w:r>
      <w:r>
        <w:rPr>
          <w:rFonts w:hint="default" w:ascii="Times New Roman" w:hAnsi="Times New Roman" w:cs="Times New Roman"/>
          <w:color w:val="auto"/>
          <w:lang w:val="en-US" w:eastAsia="zh-CN"/>
        </w:rPr>
        <w:t>8</w:t>
      </w:r>
      <w:r>
        <w:rPr>
          <w:rFonts w:hint="default" w:ascii="Times New Roman" w:hAnsi="Times New Roman" w:cs="Times New Roman"/>
          <w:color w:val="auto"/>
          <w:lang w:val="zh-TW" w:eastAsia="zh-TW"/>
        </w:rPr>
        <w:t>个，其中：定量指标6个，定性指标</w:t>
      </w:r>
      <w:r>
        <w:rPr>
          <w:rFonts w:hint="default" w:ascii="Times New Roman" w:hAnsi="Times New Roman" w:cs="Times New Roman"/>
          <w:color w:val="auto"/>
          <w:lang w:val="en-US" w:eastAsia="zh-CN"/>
        </w:rPr>
        <w:t>2</w:t>
      </w:r>
      <w:r>
        <w:rPr>
          <w:rFonts w:hint="default" w:ascii="Times New Roman" w:hAnsi="Times New Roman" w:cs="Times New Roman"/>
          <w:color w:val="auto"/>
          <w:lang w:val="zh-TW" w:eastAsia="zh-TW"/>
        </w:rPr>
        <w:t>个，指标量化率为</w:t>
      </w:r>
      <w:r>
        <w:rPr>
          <w:rFonts w:hint="default" w:ascii="Times New Roman" w:hAnsi="Times New Roman" w:cs="Times New Roman"/>
          <w:color w:val="auto"/>
          <w:lang w:val="en-US" w:eastAsia="zh-CN"/>
        </w:rPr>
        <w:t>75.00</w:t>
      </w:r>
      <w:r>
        <w:rPr>
          <w:rFonts w:hint="default" w:ascii="Times New Roman" w:hAnsi="Times New Roman" w:cs="Times New Roman"/>
          <w:color w:val="auto"/>
          <w:lang w:val="zh-TW" w:eastAsia="zh-TW"/>
        </w:rPr>
        <w:t>%，量化率达70.00%</w:t>
      </w:r>
      <w:r>
        <w:rPr>
          <w:rFonts w:hint="default" w:ascii="Times New Roman" w:hAnsi="Times New Roman" w:cs="Times New Roman"/>
          <w:color w:val="auto"/>
          <w:lang w:val="en-US" w:eastAsia="zh-CN"/>
        </w:rPr>
        <w:t>以上</w:t>
      </w:r>
      <w:r>
        <w:rPr>
          <w:rFonts w:hint="default" w:ascii="Times New Roman" w:hAnsi="Times New Roman" w:cs="Times New Roman"/>
          <w:color w:val="auto"/>
          <w:lang w:val="zh-TW" w:eastAsia="zh-TW"/>
        </w:rPr>
        <w:t>，指标</w:t>
      </w:r>
      <w:r>
        <w:rPr>
          <w:rFonts w:hint="default" w:ascii="Times New Roman" w:hAnsi="Times New Roman" w:cs="Times New Roman"/>
          <w:color w:val="auto"/>
          <w:lang w:val="en-US" w:eastAsia="zh-CN"/>
        </w:rPr>
        <w:t>具有</w:t>
      </w:r>
      <w:r>
        <w:rPr>
          <w:rFonts w:hint="default" w:ascii="Times New Roman" w:hAnsi="Times New Roman" w:cs="Times New Roman"/>
          <w:color w:val="auto"/>
          <w:lang w:val="zh-TW" w:eastAsia="zh-TW"/>
        </w:rPr>
        <w:t>可衡量性。</w:t>
      </w:r>
    </w:p>
    <w:p w14:paraId="78999996">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lang w:val="zh-TW" w:eastAsia="zh-TW"/>
        </w:rPr>
      </w:pPr>
      <w:r>
        <w:rPr>
          <w:rFonts w:hint="default" w:ascii="Times New Roman" w:hAnsi="Times New Roman" w:cs="Times New Roman"/>
          <w:color w:val="auto"/>
          <w:lang w:val="zh-TW" w:eastAsia="zh-TW"/>
        </w:rPr>
        <w:t>该指标满分为2.00分，根据评分标准得</w:t>
      </w:r>
      <w:r>
        <w:rPr>
          <w:rFonts w:hint="default" w:ascii="Times New Roman" w:hAnsi="Times New Roman" w:cs="Times New Roman"/>
          <w:color w:val="auto"/>
          <w:lang w:val="en-US" w:eastAsia="zh-CN"/>
        </w:rPr>
        <w:t>2.00</w:t>
      </w:r>
      <w:r>
        <w:rPr>
          <w:rFonts w:hint="default" w:ascii="Times New Roman" w:hAnsi="Times New Roman" w:cs="Times New Roman"/>
          <w:color w:val="auto"/>
          <w:lang w:val="zh-TW" w:eastAsia="zh-TW"/>
        </w:rPr>
        <w:t>分。</w:t>
      </w:r>
    </w:p>
    <w:p w14:paraId="58725FA5">
      <w:pPr>
        <w:widowControl/>
        <w:spacing w:line="360" w:lineRule="auto"/>
        <w:ind w:firstLine="422"/>
        <w:jc w:val="left"/>
        <w:rPr>
          <w:rFonts w:hint="default" w:ascii="Times New Roman" w:hAnsi="Times New Roman" w:cs="Times New Roman"/>
          <w:b/>
          <w:bCs/>
          <w:color w:val="auto"/>
        </w:rPr>
      </w:pPr>
      <w:r>
        <w:rPr>
          <w:rFonts w:hint="default" w:ascii="Times New Roman" w:hAnsi="Times New Roman" w:cs="Times New Roman"/>
          <w:b/>
          <w:bCs/>
          <w:color w:val="auto"/>
        </w:rPr>
        <w:t>（5）A31预算编制科学性指标：</w:t>
      </w:r>
    </w:p>
    <w:p w14:paraId="52CA4E2F">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lang w:val="zh-TW" w:eastAsia="zh-TW"/>
        </w:rPr>
      </w:pPr>
      <w:r>
        <w:rPr>
          <w:rFonts w:hint="default" w:ascii="Times New Roman" w:hAnsi="Times New Roman" w:cs="Times New Roman"/>
          <w:color w:val="auto"/>
          <w:lang w:val="zh-TW" w:eastAsia="zh-TW"/>
        </w:rPr>
        <w:t>该项目属于中央专项资金项目，根据《民政部办公厅“福彩圆梦·孤儿助学工程”项目实施暂行办法》，按照上级主管单位要求填报《</w:t>
      </w:r>
      <w:r>
        <w:rPr>
          <w:rFonts w:hint="default" w:ascii="Times New Roman" w:hAnsi="Times New Roman" w:cs="Times New Roman"/>
          <w:color w:val="auto"/>
          <w:lang w:val="en-US" w:eastAsia="zh-CN"/>
        </w:rPr>
        <w:t>孤儿助学测算分配表</w:t>
      </w:r>
      <w:r>
        <w:rPr>
          <w:rFonts w:hint="default" w:ascii="Times New Roman" w:hAnsi="Times New Roman" w:cs="Times New Roman"/>
          <w:color w:val="auto"/>
          <w:lang w:val="zh-TW" w:eastAsia="zh-TW"/>
        </w:rPr>
        <w:t>》，项目预算由各级民政部门根据孤儿信息系统逐级审核上报，经审核批复申请预算</w:t>
      </w:r>
      <w:r>
        <w:rPr>
          <w:rFonts w:hint="default" w:ascii="Times New Roman" w:hAnsi="Times New Roman" w:cs="Times New Roman"/>
          <w:color w:val="auto"/>
          <w:lang w:val="zh-TW" w:eastAsia="zh-CN"/>
        </w:rPr>
        <w:t>18.00万元</w:t>
      </w:r>
      <w:r>
        <w:rPr>
          <w:rFonts w:hint="default" w:ascii="Times New Roman" w:hAnsi="Times New Roman" w:cs="Times New Roman"/>
          <w:color w:val="auto"/>
          <w:lang w:val="zh-TW" w:eastAsia="zh-TW"/>
        </w:rPr>
        <w:t>，项目预算主要用于支付</w:t>
      </w:r>
      <w:r>
        <w:rPr>
          <w:rFonts w:hint="default" w:ascii="Times New Roman" w:hAnsi="Times New Roman" w:cs="Times New Roman"/>
          <w:color w:val="auto"/>
          <w:lang w:val="en-US" w:eastAsia="zh-CN"/>
        </w:rPr>
        <w:t>24</w:t>
      </w:r>
      <w:r>
        <w:rPr>
          <w:rFonts w:hint="default" w:ascii="Times New Roman" w:hAnsi="Times New Roman" w:cs="Times New Roman"/>
          <w:color w:val="auto"/>
          <w:lang w:val="zh-TW" w:eastAsia="zh-TW"/>
        </w:rPr>
        <w:t>名孤儿助学金，项目按规定补助标准编制预算。</w:t>
      </w:r>
    </w:p>
    <w:p w14:paraId="313396A7">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lang w:val="zh-TW" w:eastAsia="zh-TW"/>
        </w:rPr>
      </w:pPr>
      <w:r>
        <w:rPr>
          <w:rFonts w:hint="default" w:ascii="Times New Roman" w:hAnsi="Times New Roman" w:cs="Times New Roman"/>
          <w:color w:val="auto"/>
          <w:lang w:val="zh-TW" w:eastAsia="zh-TW"/>
        </w:rPr>
        <w:t>该指标满分为1.50分，根据评分标准得1.50分。</w:t>
      </w:r>
    </w:p>
    <w:p w14:paraId="309ADCEE">
      <w:pPr>
        <w:spacing w:line="360" w:lineRule="auto"/>
        <w:ind w:left="420" w:leftChars="200" w:firstLine="0" w:firstLineChars="0"/>
        <w:rPr>
          <w:rFonts w:hint="default" w:ascii="Times New Roman" w:hAnsi="Times New Roman" w:cs="Times New Roman"/>
          <w:b/>
          <w:bCs/>
          <w:color w:val="auto"/>
        </w:rPr>
      </w:pPr>
      <w:r>
        <w:rPr>
          <w:rFonts w:hint="default" w:ascii="Times New Roman" w:hAnsi="Times New Roman" w:cs="Times New Roman"/>
          <w:b/>
          <w:bCs/>
          <w:color w:val="auto"/>
        </w:rPr>
        <w:t>（6）A32资金分配合理性指标：</w:t>
      </w:r>
    </w:p>
    <w:p w14:paraId="2842AD03">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lang w:val="zh-TW" w:eastAsia="zh-TW"/>
        </w:rPr>
      </w:pPr>
      <w:r>
        <w:rPr>
          <w:rFonts w:hint="default" w:ascii="Times New Roman" w:hAnsi="Times New Roman" w:cs="Times New Roman"/>
          <w:color w:val="auto"/>
          <w:lang w:val="zh-TW" w:eastAsia="zh-TW"/>
        </w:rPr>
        <w:t>该项目根据</w:t>
      </w:r>
      <w:r>
        <w:rPr>
          <w:rFonts w:hint="default" w:ascii="Times New Roman" w:hAnsi="Times New Roman" w:cs="Times New Roman"/>
          <w:color w:val="auto"/>
          <w:lang w:val="zh-TW" w:eastAsia="zh-CN"/>
        </w:rPr>
        <w:t>《关于提前下达2024年中央专项彩票公益金支持地方社会公益事业发展（社会福利）资金预算的通知》（伊州财综〔2023〕36号）</w:t>
      </w:r>
      <w:r>
        <w:rPr>
          <w:rFonts w:hint="default" w:ascii="Times New Roman" w:hAnsi="Times New Roman" w:cs="Times New Roman"/>
          <w:color w:val="auto"/>
          <w:lang w:val="zh-TW" w:eastAsia="zh-TW"/>
        </w:rPr>
        <w:t>为依据进行资金分配，预算资金分配依据充分，批复资金额度与项目单位实际相适应。</w:t>
      </w:r>
    </w:p>
    <w:p w14:paraId="073A1AC3">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lang w:val="zh-TW" w:eastAsia="zh-TW"/>
        </w:rPr>
      </w:pPr>
      <w:r>
        <w:rPr>
          <w:rFonts w:hint="default" w:ascii="Times New Roman" w:hAnsi="Times New Roman" w:cs="Times New Roman"/>
          <w:color w:val="auto"/>
          <w:lang w:val="zh-TW" w:eastAsia="zh-TW"/>
        </w:rPr>
        <w:t>该指标满分为1.50分，根据评分标准得1.50分。</w:t>
      </w:r>
    </w:p>
    <w:p w14:paraId="04E92C6B">
      <w:pPr>
        <w:pStyle w:val="5"/>
        <w:pageBreakBefore w:val="0"/>
        <w:kinsoku/>
        <w:wordWrap/>
        <w:overflowPunct/>
        <w:topLinePunct w:val="0"/>
        <w:autoSpaceDE/>
        <w:autoSpaceDN/>
        <w:bidi w:val="0"/>
        <w:snapToGrid w:val="0"/>
        <w:spacing w:line="360" w:lineRule="auto"/>
        <w:ind w:firstLine="482"/>
        <w:rPr>
          <w:rFonts w:hint="default" w:ascii="Times New Roman" w:hAnsi="Times New Roman" w:cs="Times New Roman"/>
          <w:color w:val="auto"/>
        </w:rPr>
      </w:pPr>
      <w:bookmarkStart w:id="73" w:name="_Toc20089"/>
      <w:r>
        <w:rPr>
          <w:rFonts w:hint="default" w:ascii="Times New Roman" w:hAnsi="Times New Roman" w:cs="Times New Roman"/>
          <w:color w:val="auto"/>
        </w:rPr>
        <w:t>（二）项目过程情况</w:t>
      </w:r>
      <w:bookmarkEnd w:id="73"/>
    </w:p>
    <w:p w14:paraId="099CB833">
      <w:pPr>
        <w:pageBreakBefore w:val="0"/>
        <w:kinsoku/>
        <w:wordWrap/>
        <w:overflowPunct/>
        <w:topLinePunct w:val="0"/>
        <w:autoSpaceDE/>
        <w:autoSpaceDN/>
        <w:bidi w:val="0"/>
        <w:snapToGrid w:val="0"/>
        <w:spacing w:line="360" w:lineRule="auto"/>
        <w:ind w:firstLine="420" w:firstLineChars="200"/>
        <w:jc w:val="left"/>
        <w:rPr>
          <w:rFonts w:hint="default" w:ascii="Times New Roman" w:hAnsi="Times New Roman" w:cs="Times New Roman"/>
          <w:color w:val="auto"/>
        </w:rPr>
      </w:pPr>
      <w:r>
        <w:rPr>
          <w:rFonts w:hint="default" w:ascii="Times New Roman" w:hAnsi="Times New Roman" w:cs="Times New Roman"/>
          <w:color w:val="auto"/>
        </w:rPr>
        <w:t>项目过程类指标由2个二级指标和5个三级指标构成，权重分25.00分，实际得分</w:t>
      </w:r>
      <w:r>
        <w:rPr>
          <w:rFonts w:hint="eastAsia" w:cs="Times New Roman"/>
          <w:color w:val="auto"/>
          <w:lang w:val="en-US" w:eastAsia="zh-CN"/>
        </w:rPr>
        <w:t>18.50</w:t>
      </w:r>
      <w:r>
        <w:rPr>
          <w:rFonts w:hint="default" w:ascii="Times New Roman" w:hAnsi="Times New Roman" w:cs="Times New Roman"/>
          <w:color w:val="auto"/>
        </w:rPr>
        <w:t>分，得分率为</w:t>
      </w:r>
      <w:r>
        <w:rPr>
          <w:rFonts w:hint="eastAsia" w:cs="Times New Roman"/>
          <w:color w:val="auto"/>
          <w:lang w:val="en-US" w:eastAsia="zh-CN"/>
        </w:rPr>
        <w:t>74</w:t>
      </w:r>
      <w:r>
        <w:rPr>
          <w:rFonts w:hint="default" w:ascii="Times New Roman" w:hAnsi="Times New Roman" w:cs="Times New Roman"/>
          <w:color w:val="auto"/>
        </w:rPr>
        <w:t>.00%。各指标业绩值和绩效分值如下表所示：</w:t>
      </w:r>
    </w:p>
    <w:p w14:paraId="13E21FCA">
      <w:pPr>
        <w:pageBreakBefore w:val="0"/>
        <w:kinsoku/>
        <w:wordWrap/>
        <w:overflowPunct/>
        <w:topLinePunct w:val="0"/>
        <w:autoSpaceDE/>
        <w:autoSpaceDN/>
        <w:bidi w:val="0"/>
        <w:snapToGrid w:val="0"/>
        <w:spacing w:line="360" w:lineRule="auto"/>
        <w:ind w:firstLine="0" w:firstLineChars="0"/>
        <w:jc w:val="center"/>
        <w:rPr>
          <w:rFonts w:ascii="Times New Roman" w:hAnsi="Times New Roman" w:eastAsia="黑体" w:cs="Times New Roman"/>
          <w:b/>
          <w:bCs/>
          <w:color w:val="auto"/>
        </w:rPr>
      </w:pPr>
      <w:r>
        <w:rPr>
          <w:rFonts w:ascii="Times New Roman" w:hAnsi="Times New Roman" w:cs="Times New Roman"/>
          <w:b/>
          <w:bCs/>
          <w:color w:val="auto"/>
          <w:szCs w:val="16"/>
        </w:rPr>
        <w:t>表</w:t>
      </w:r>
      <w:r>
        <w:rPr>
          <w:rFonts w:hint="default" w:ascii="Times New Roman" w:hAnsi="Times New Roman" w:cs="Times New Roman"/>
          <w:b/>
          <w:bCs/>
          <w:color w:val="auto"/>
          <w:szCs w:val="16"/>
          <w:lang w:val="en-US" w:eastAsia="zh-CN"/>
        </w:rPr>
        <w:t>5</w:t>
      </w:r>
      <w:r>
        <w:rPr>
          <w:rFonts w:ascii="Times New Roman" w:hAnsi="Times New Roman" w:cs="Times New Roman"/>
          <w:b/>
          <w:bCs/>
          <w:color w:val="auto"/>
          <w:szCs w:val="16"/>
        </w:rPr>
        <w:t>-2：项目过程类指标及分值</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1032"/>
        <w:gridCol w:w="1107"/>
        <w:gridCol w:w="2015"/>
        <w:gridCol w:w="855"/>
        <w:gridCol w:w="1105"/>
        <w:gridCol w:w="754"/>
        <w:gridCol w:w="685"/>
        <w:gridCol w:w="855"/>
      </w:tblGrid>
      <w:tr w14:paraId="06CF5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blHeader/>
          <w:jc w:val="center"/>
        </w:trPr>
        <w:tc>
          <w:tcPr>
            <w:tcW w:w="617" w:type="pct"/>
            <w:vAlign w:val="center"/>
          </w:tcPr>
          <w:p w14:paraId="64634150">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b/>
                <w:color w:val="auto"/>
                <w:sz w:val="21"/>
                <w:szCs w:val="21"/>
              </w:rPr>
            </w:pPr>
            <w:r>
              <w:rPr>
                <w:rFonts w:hint="default" w:ascii="Times New Roman" w:hAnsi="Times New Roman" w:cs="Times New Roman" w:eastAsiaTheme="minorEastAsia"/>
                <w:b/>
                <w:color w:val="auto"/>
                <w:kern w:val="0"/>
                <w:sz w:val="21"/>
                <w:szCs w:val="21"/>
                <w:lang w:bidi="ar"/>
              </w:rPr>
              <w:t>一级指标</w:t>
            </w:r>
          </w:p>
        </w:tc>
        <w:tc>
          <w:tcPr>
            <w:tcW w:w="661" w:type="pct"/>
            <w:vAlign w:val="center"/>
          </w:tcPr>
          <w:p w14:paraId="78C48BBD">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b/>
                <w:color w:val="auto"/>
                <w:sz w:val="21"/>
                <w:szCs w:val="21"/>
              </w:rPr>
            </w:pPr>
            <w:r>
              <w:rPr>
                <w:rFonts w:hint="default" w:ascii="Times New Roman" w:hAnsi="Times New Roman" w:cs="Times New Roman" w:eastAsiaTheme="minorEastAsia"/>
                <w:b/>
                <w:color w:val="auto"/>
                <w:kern w:val="0"/>
                <w:sz w:val="21"/>
                <w:szCs w:val="21"/>
                <w:lang w:bidi="ar"/>
              </w:rPr>
              <w:t>二级指标</w:t>
            </w:r>
          </w:p>
        </w:tc>
        <w:tc>
          <w:tcPr>
            <w:tcW w:w="1201" w:type="pct"/>
            <w:vAlign w:val="center"/>
          </w:tcPr>
          <w:p w14:paraId="568C6766">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b/>
                <w:color w:val="auto"/>
                <w:sz w:val="21"/>
                <w:szCs w:val="21"/>
              </w:rPr>
            </w:pPr>
            <w:r>
              <w:rPr>
                <w:rFonts w:hint="default" w:ascii="Times New Roman" w:hAnsi="Times New Roman" w:cs="Times New Roman" w:eastAsiaTheme="minorEastAsia"/>
                <w:b/>
                <w:color w:val="auto"/>
                <w:kern w:val="0"/>
                <w:sz w:val="21"/>
                <w:szCs w:val="21"/>
                <w:lang w:bidi="ar"/>
              </w:rPr>
              <w:t>三级指标</w:t>
            </w:r>
          </w:p>
        </w:tc>
        <w:tc>
          <w:tcPr>
            <w:tcW w:w="500" w:type="pct"/>
            <w:vAlign w:val="center"/>
          </w:tcPr>
          <w:p w14:paraId="7AC7B548">
            <w:pPr>
              <w:pageBreakBefore w:val="0"/>
              <w:widowControl/>
              <w:kinsoku/>
              <w:wordWrap/>
              <w:overflowPunct/>
              <w:topLinePunct w:val="0"/>
              <w:autoSpaceDE/>
              <w:autoSpaceDN/>
              <w:bidi w:val="0"/>
              <w:snapToGrid w:val="0"/>
              <w:spacing w:before="0" w:after="0" w:line="240" w:lineRule="auto"/>
              <w:ind w:firstLine="0" w:firstLineChars="0"/>
              <w:textAlignment w:val="center"/>
              <w:rPr>
                <w:rFonts w:hint="default" w:ascii="Times New Roman" w:hAnsi="Times New Roman" w:cs="Times New Roman" w:eastAsiaTheme="minorEastAsia"/>
                <w:b/>
                <w:color w:val="auto"/>
                <w:sz w:val="21"/>
                <w:szCs w:val="21"/>
              </w:rPr>
            </w:pPr>
            <w:r>
              <w:rPr>
                <w:rFonts w:hint="default" w:ascii="Times New Roman" w:hAnsi="Times New Roman" w:cs="Times New Roman" w:eastAsiaTheme="minorEastAsia"/>
                <w:b/>
                <w:color w:val="auto"/>
                <w:kern w:val="0"/>
                <w:sz w:val="21"/>
                <w:szCs w:val="21"/>
                <w:lang w:bidi="ar"/>
              </w:rPr>
              <w:t>目标值</w:t>
            </w:r>
          </w:p>
        </w:tc>
        <w:tc>
          <w:tcPr>
            <w:tcW w:w="660" w:type="pct"/>
            <w:vAlign w:val="center"/>
          </w:tcPr>
          <w:p w14:paraId="6618D707">
            <w:pPr>
              <w:pageBreakBefore w:val="0"/>
              <w:widowControl/>
              <w:kinsoku/>
              <w:wordWrap/>
              <w:overflowPunct/>
              <w:topLinePunct w:val="0"/>
              <w:autoSpaceDE/>
              <w:autoSpaceDN/>
              <w:bidi w:val="0"/>
              <w:snapToGrid w:val="0"/>
              <w:spacing w:before="0" w:after="0" w:line="240" w:lineRule="auto"/>
              <w:ind w:firstLine="0" w:firstLineChars="0"/>
              <w:textAlignment w:val="center"/>
              <w:rPr>
                <w:rFonts w:hint="default" w:ascii="Times New Roman" w:hAnsi="Times New Roman" w:cs="Times New Roman" w:eastAsiaTheme="minorEastAsia"/>
                <w:b/>
                <w:color w:val="auto"/>
                <w:kern w:val="0"/>
                <w:sz w:val="21"/>
                <w:szCs w:val="21"/>
                <w:lang w:bidi="ar"/>
              </w:rPr>
            </w:pPr>
            <w:r>
              <w:rPr>
                <w:rFonts w:hint="default" w:ascii="Times New Roman" w:hAnsi="Times New Roman" w:cs="Times New Roman" w:eastAsiaTheme="minorEastAsia"/>
                <w:b/>
                <w:color w:val="auto"/>
                <w:kern w:val="0"/>
                <w:sz w:val="21"/>
                <w:szCs w:val="21"/>
                <w:lang w:bidi="ar"/>
              </w:rPr>
              <w:t>实际完成值</w:t>
            </w:r>
          </w:p>
        </w:tc>
        <w:tc>
          <w:tcPr>
            <w:tcW w:w="451" w:type="pct"/>
            <w:vAlign w:val="center"/>
          </w:tcPr>
          <w:p w14:paraId="46F6F65E">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b/>
                <w:color w:val="auto"/>
                <w:sz w:val="21"/>
                <w:szCs w:val="21"/>
              </w:rPr>
            </w:pPr>
            <w:r>
              <w:rPr>
                <w:rFonts w:hint="default" w:ascii="Times New Roman" w:hAnsi="Times New Roman" w:cs="Times New Roman" w:eastAsiaTheme="minorEastAsia"/>
                <w:b/>
                <w:color w:val="auto"/>
                <w:kern w:val="0"/>
                <w:sz w:val="21"/>
                <w:szCs w:val="21"/>
                <w:lang w:bidi="ar"/>
              </w:rPr>
              <w:t>权重</w:t>
            </w:r>
          </w:p>
        </w:tc>
        <w:tc>
          <w:tcPr>
            <w:tcW w:w="410" w:type="pct"/>
            <w:vAlign w:val="center"/>
          </w:tcPr>
          <w:p w14:paraId="2AB59A3C">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b/>
                <w:color w:val="auto"/>
                <w:sz w:val="21"/>
                <w:szCs w:val="21"/>
              </w:rPr>
            </w:pPr>
            <w:r>
              <w:rPr>
                <w:rFonts w:hint="default" w:ascii="Times New Roman" w:hAnsi="Times New Roman" w:cs="Times New Roman" w:eastAsiaTheme="minorEastAsia"/>
                <w:b/>
                <w:color w:val="auto"/>
                <w:kern w:val="0"/>
                <w:sz w:val="21"/>
                <w:szCs w:val="21"/>
                <w:lang w:bidi="ar"/>
              </w:rPr>
              <w:t>得分</w:t>
            </w:r>
          </w:p>
        </w:tc>
        <w:tc>
          <w:tcPr>
            <w:tcW w:w="498" w:type="pct"/>
            <w:vAlign w:val="center"/>
          </w:tcPr>
          <w:p w14:paraId="6FA431F9">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b/>
                <w:color w:val="auto"/>
                <w:kern w:val="0"/>
                <w:sz w:val="21"/>
                <w:szCs w:val="21"/>
                <w:lang w:bidi="ar"/>
              </w:rPr>
            </w:pPr>
            <w:r>
              <w:rPr>
                <w:rFonts w:hint="default" w:ascii="Times New Roman" w:hAnsi="Times New Roman" w:cs="Times New Roman" w:eastAsiaTheme="minorEastAsia"/>
                <w:b/>
                <w:color w:val="auto"/>
                <w:kern w:val="0"/>
                <w:sz w:val="21"/>
                <w:szCs w:val="21"/>
                <w:lang w:bidi="ar"/>
              </w:rPr>
              <w:t>得分率</w:t>
            </w:r>
          </w:p>
        </w:tc>
      </w:tr>
      <w:tr w14:paraId="33633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restart"/>
            <w:vAlign w:val="center"/>
          </w:tcPr>
          <w:p w14:paraId="40440A3D">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B过程（25.00分）</w:t>
            </w:r>
          </w:p>
        </w:tc>
        <w:tc>
          <w:tcPr>
            <w:tcW w:w="661" w:type="pct"/>
            <w:vMerge w:val="restart"/>
            <w:vAlign w:val="center"/>
          </w:tcPr>
          <w:p w14:paraId="57F8097C">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kern w:val="0"/>
                <w:sz w:val="21"/>
                <w:szCs w:val="21"/>
                <w:lang w:bidi="ar"/>
              </w:rPr>
              <w:t>B1 资金管理（13.00分）　</w:t>
            </w:r>
          </w:p>
        </w:tc>
        <w:tc>
          <w:tcPr>
            <w:tcW w:w="1201" w:type="pct"/>
            <w:vAlign w:val="center"/>
          </w:tcPr>
          <w:p w14:paraId="1A854382">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kern w:val="0"/>
                <w:sz w:val="21"/>
                <w:szCs w:val="21"/>
                <w:lang w:bidi="ar"/>
              </w:rPr>
              <w:t>B11资金到位率</w:t>
            </w:r>
          </w:p>
        </w:tc>
        <w:tc>
          <w:tcPr>
            <w:tcW w:w="500" w:type="pct"/>
            <w:vAlign w:val="center"/>
          </w:tcPr>
          <w:p w14:paraId="34AE893C">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kern w:val="0"/>
                <w:sz w:val="21"/>
                <w:szCs w:val="21"/>
                <w:lang w:bidi="ar"/>
              </w:rPr>
              <w:t>100</w:t>
            </w:r>
            <w:r>
              <w:rPr>
                <w:rFonts w:hint="eastAsia" w:cs="Times New Roman"/>
                <w:color w:val="auto"/>
                <w:kern w:val="0"/>
                <w:sz w:val="21"/>
                <w:szCs w:val="21"/>
                <w:lang w:eastAsia="zh-CN" w:bidi="ar"/>
              </w:rPr>
              <w:t>.</w:t>
            </w:r>
            <w:r>
              <w:rPr>
                <w:rFonts w:hint="eastAsia" w:cs="Times New Roman"/>
                <w:color w:val="auto"/>
                <w:kern w:val="0"/>
                <w:sz w:val="21"/>
                <w:szCs w:val="21"/>
                <w:lang w:val="en-US" w:eastAsia="zh-CN" w:bidi="ar"/>
              </w:rPr>
              <w:t>00</w:t>
            </w:r>
            <w:r>
              <w:rPr>
                <w:rFonts w:hint="default" w:ascii="Times New Roman" w:hAnsi="Times New Roman" w:cs="Times New Roman" w:eastAsiaTheme="minorEastAsia"/>
                <w:color w:val="auto"/>
                <w:kern w:val="0"/>
                <w:sz w:val="21"/>
                <w:szCs w:val="21"/>
                <w:lang w:bidi="ar"/>
              </w:rPr>
              <w:t>%</w:t>
            </w:r>
          </w:p>
        </w:tc>
        <w:tc>
          <w:tcPr>
            <w:tcW w:w="1110" w:type="dxa"/>
            <w:vAlign w:val="center"/>
          </w:tcPr>
          <w:p w14:paraId="7FB19202">
            <w:pPr>
              <w:widowControl/>
              <w:spacing w:line="240" w:lineRule="auto"/>
              <w:ind w:firstLine="0" w:firstLineChars="0"/>
              <w:jc w:val="center"/>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color w:val="auto"/>
              </w:rPr>
              <w:t>100.00%</w:t>
            </w:r>
          </w:p>
        </w:tc>
        <w:tc>
          <w:tcPr>
            <w:tcW w:w="759" w:type="dxa"/>
            <w:vAlign w:val="center"/>
          </w:tcPr>
          <w:p w14:paraId="088D1109">
            <w:pPr>
              <w:widowControl/>
              <w:spacing w:line="240" w:lineRule="auto"/>
              <w:ind w:firstLine="0" w:firstLineChars="0"/>
              <w:jc w:val="center"/>
              <w:rPr>
                <w:rFonts w:hint="default" w:ascii="Times New Roman" w:hAnsi="Times New Roman" w:cs="Times New Roman" w:eastAsiaTheme="minorEastAsia"/>
                <w:color w:val="auto"/>
                <w:sz w:val="21"/>
                <w:szCs w:val="21"/>
              </w:rPr>
            </w:pPr>
            <w:r>
              <w:rPr>
                <w:rFonts w:hint="default" w:ascii="Times New Roman" w:hAnsi="Times New Roman" w:cs="Times New Roman"/>
                <w:color w:val="auto"/>
              </w:rPr>
              <w:t>3.00</w:t>
            </w:r>
          </w:p>
        </w:tc>
        <w:tc>
          <w:tcPr>
            <w:tcW w:w="690" w:type="dxa"/>
            <w:vAlign w:val="center"/>
          </w:tcPr>
          <w:p w14:paraId="5633195D">
            <w:pPr>
              <w:widowControl/>
              <w:spacing w:line="240" w:lineRule="auto"/>
              <w:ind w:firstLine="0" w:firstLineChars="0"/>
              <w:jc w:val="center"/>
              <w:rPr>
                <w:rFonts w:hint="default" w:ascii="Times New Roman" w:hAnsi="Times New Roman" w:cs="Times New Roman" w:eastAsiaTheme="minorEastAsia"/>
                <w:color w:val="auto"/>
                <w:sz w:val="21"/>
                <w:szCs w:val="21"/>
              </w:rPr>
            </w:pPr>
            <w:r>
              <w:rPr>
                <w:rFonts w:hint="default" w:ascii="Times New Roman" w:hAnsi="Times New Roman" w:cs="Times New Roman"/>
                <w:color w:val="auto"/>
              </w:rPr>
              <w:t>3.00</w:t>
            </w:r>
          </w:p>
        </w:tc>
        <w:tc>
          <w:tcPr>
            <w:tcW w:w="838" w:type="dxa"/>
            <w:vAlign w:val="center"/>
          </w:tcPr>
          <w:p w14:paraId="38088EFF">
            <w:pPr>
              <w:widowControl/>
              <w:spacing w:line="240" w:lineRule="auto"/>
              <w:ind w:firstLine="0" w:firstLineChars="0"/>
              <w:jc w:val="center"/>
              <w:rPr>
                <w:rFonts w:hint="default" w:ascii="Times New Roman" w:hAnsi="Times New Roman" w:cs="Times New Roman"/>
                <w:color w:val="auto"/>
              </w:rPr>
            </w:pPr>
            <w:r>
              <w:rPr>
                <w:rFonts w:hint="eastAsia" w:ascii="Times New Roman" w:hAnsi="Times New Roman" w:cs="Times New Roman"/>
                <w:color w:val="auto"/>
                <w:lang w:val="en-US" w:eastAsia="zh-CN"/>
              </w:rPr>
              <w:t>100.00%</w:t>
            </w:r>
          </w:p>
        </w:tc>
      </w:tr>
      <w:tr w14:paraId="5C4CA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14:paraId="65D35B29">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cs="Times New Roman" w:eastAsiaTheme="minorEastAsia"/>
                <w:color w:val="auto"/>
                <w:sz w:val="21"/>
                <w:szCs w:val="21"/>
              </w:rPr>
            </w:pPr>
          </w:p>
        </w:tc>
        <w:tc>
          <w:tcPr>
            <w:tcW w:w="661" w:type="pct"/>
            <w:vMerge w:val="continue"/>
            <w:vAlign w:val="center"/>
          </w:tcPr>
          <w:p w14:paraId="34CBFD70">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cs="Times New Roman" w:eastAsiaTheme="minorEastAsia"/>
                <w:color w:val="auto"/>
                <w:sz w:val="21"/>
                <w:szCs w:val="21"/>
              </w:rPr>
            </w:pPr>
          </w:p>
        </w:tc>
        <w:tc>
          <w:tcPr>
            <w:tcW w:w="1201" w:type="pct"/>
            <w:vAlign w:val="center"/>
          </w:tcPr>
          <w:p w14:paraId="16854E16">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kern w:val="0"/>
                <w:sz w:val="21"/>
                <w:szCs w:val="21"/>
                <w:lang w:bidi="ar"/>
              </w:rPr>
              <w:t>B12预算执行率</w:t>
            </w:r>
          </w:p>
        </w:tc>
        <w:tc>
          <w:tcPr>
            <w:tcW w:w="500" w:type="pct"/>
            <w:vAlign w:val="center"/>
          </w:tcPr>
          <w:p w14:paraId="59DDBB65">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kern w:val="0"/>
                <w:sz w:val="21"/>
                <w:szCs w:val="21"/>
                <w:lang w:bidi="ar"/>
              </w:rPr>
              <w:t>100</w:t>
            </w:r>
            <w:r>
              <w:rPr>
                <w:rFonts w:hint="eastAsia" w:cs="Times New Roman"/>
                <w:color w:val="auto"/>
                <w:kern w:val="0"/>
                <w:sz w:val="21"/>
                <w:szCs w:val="21"/>
                <w:lang w:val="en-US" w:eastAsia="zh-CN" w:bidi="ar"/>
              </w:rPr>
              <w:t>.00</w:t>
            </w:r>
            <w:r>
              <w:rPr>
                <w:rFonts w:hint="default" w:ascii="Times New Roman" w:hAnsi="Times New Roman" w:cs="Times New Roman" w:eastAsiaTheme="minorEastAsia"/>
                <w:color w:val="auto"/>
                <w:kern w:val="0"/>
                <w:sz w:val="21"/>
                <w:szCs w:val="21"/>
                <w:lang w:bidi="ar"/>
              </w:rPr>
              <w:t>%</w:t>
            </w:r>
          </w:p>
        </w:tc>
        <w:tc>
          <w:tcPr>
            <w:tcW w:w="1110" w:type="dxa"/>
            <w:vAlign w:val="center"/>
          </w:tcPr>
          <w:p w14:paraId="2CC11041">
            <w:pPr>
              <w:widowControl/>
              <w:spacing w:line="240" w:lineRule="auto"/>
              <w:ind w:firstLine="0" w:firstLineChars="0"/>
              <w:jc w:val="center"/>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color w:val="auto"/>
              </w:rPr>
              <w:t>100.00%</w:t>
            </w:r>
          </w:p>
        </w:tc>
        <w:tc>
          <w:tcPr>
            <w:tcW w:w="759" w:type="dxa"/>
            <w:vAlign w:val="center"/>
          </w:tcPr>
          <w:p w14:paraId="79056ECA">
            <w:pPr>
              <w:widowControl/>
              <w:spacing w:line="240" w:lineRule="auto"/>
              <w:ind w:firstLine="0" w:firstLineChars="0"/>
              <w:jc w:val="center"/>
              <w:rPr>
                <w:rFonts w:hint="default" w:ascii="Times New Roman" w:hAnsi="Times New Roman" w:cs="Times New Roman" w:eastAsiaTheme="minorEastAsia"/>
                <w:color w:val="auto"/>
                <w:sz w:val="21"/>
                <w:szCs w:val="21"/>
              </w:rPr>
            </w:pPr>
            <w:r>
              <w:rPr>
                <w:rFonts w:hint="default" w:ascii="Times New Roman" w:hAnsi="Times New Roman" w:cs="Times New Roman"/>
                <w:color w:val="auto"/>
              </w:rPr>
              <w:t>5.00</w:t>
            </w:r>
          </w:p>
        </w:tc>
        <w:tc>
          <w:tcPr>
            <w:tcW w:w="690" w:type="dxa"/>
            <w:vAlign w:val="center"/>
          </w:tcPr>
          <w:p w14:paraId="6FB25C0C">
            <w:pPr>
              <w:widowControl/>
              <w:spacing w:line="240" w:lineRule="auto"/>
              <w:ind w:firstLine="0" w:firstLineChars="0"/>
              <w:jc w:val="center"/>
              <w:rPr>
                <w:rFonts w:hint="default" w:ascii="Times New Roman" w:hAnsi="Times New Roman" w:cs="Times New Roman" w:eastAsiaTheme="minorEastAsia"/>
                <w:color w:val="auto"/>
                <w:sz w:val="21"/>
                <w:szCs w:val="21"/>
              </w:rPr>
            </w:pPr>
            <w:r>
              <w:rPr>
                <w:rFonts w:hint="default" w:ascii="Times New Roman" w:hAnsi="Times New Roman" w:cs="Times New Roman"/>
                <w:color w:val="auto"/>
              </w:rPr>
              <w:t>5.00</w:t>
            </w:r>
          </w:p>
        </w:tc>
        <w:tc>
          <w:tcPr>
            <w:tcW w:w="838" w:type="dxa"/>
            <w:vAlign w:val="center"/>
          </w:tcPr>
          <w:p w14:paraId="7530F38E">
            <w:pPr>
              <w:widowControl/>
              <w:spacing w:line="240" w:lineRule="auto"/>
              <w:ind w:firstLine="0" w:firstLineChars="0"/>
              <w:jc w:val="center"/>
              <w:rPr>
                <w:rFonts w:hint="default" w:ascii="Times New Roman" w:hAnsi="Times New Roman" w:cs="Times New Roman"/>
                <w:color w:val="auto"/>
              </w:rPr>
            </w:pPr>
            <w:r>
              <w:rPr>
                <w:rFonts w:hint="eastAsia" w:ascii="Times New Roman" w:hAnsi="Times New Roman" w:cs="Times New Roman"/>
                <w:color w:val="auto"/>
                <w:lang w:val="en-US" w:eastAsia="zh-CN"/>
              </w:rPr>
              <w:t>100.00%</w:t>
            </w:r>
          </w:p>
        </w:tc>
      </w:tr>
      <w:tr w14:paraId="0C771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01" w:hRule="atLeast"/>
          <w:jc w:val="center"/>
        </w:trPr>
        <w:tc>
          <w:tcPr>
            <w:tcW w:w="617" w:type="pct"/>
            <w:vMerge w:val="continue"/>
            <w:vAlign w:val="center"/>
          </w:tcPr>
          <w:p w14:paraId="2719521A">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cs="Times New Roman" w:eastAsiaTheme="minorEastAsia"/>
                <w:color w:val="auto"/>
                <w:sz w:val="21"/>
                <w:szCs w:val="21"/>
              </w:rPr>
            </w:pPr>
          </w:p>
        </w:tc>
        <w:tc>
          <w:tcPr>
            <w:tcW w:w="661" w:type="pct"/>
            <w:vMerge w:val="continue"/>
            <w:vAlign w:val="center"/>
          </w:tcPr>
          <w:p w14:paraId="25E831E7">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cs="Times New Roman" w:eastAsiaTheme="minorEastAsia"/>
                <w:color w:val="auto"/>
                <w:sz w:val="21"/>
                <w:szCs w:val="21"/>
              </w:rPr>
            </w:pPr>
          </w:p>
        </w:tc>
        <w:tc>
          <w:tcPr>
            <w:tcW w:w="1201" w:type="pct"/>
            <w:vAlign w:val="center"/>
          </w:tcPr>
          <w:p w14:paraId="4FB63B89">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kern w:val="0"/>
                <w:sz w:val="21"/>
                <w:szCs w:val="21"/>
                <w:lang w:bidi="ar"/>
              </w:rPr>
              <w:t>B13资金使用合规性</w:t>
            </w:r>
          </w:p>
        </w:tc>
        <w:tc>
          <w:tcPr>
            <w:tcW w:w="500" w:type="pct"/>
            <w:vAlign w:val="center"/>
          </w:tcPr>
          <w:p w14:paraId="5262626A">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kern w:val="0"/>
                <w:sz w:val="21"/>
                <w:szCs w:val="21"/>
                <w:lang w:bidi="ar"/>
              </w:rPr>
              <w:t>合规</w:t>
            </w:r>
          </w:p>
        </w:tc>
        <w:tc>
          <w:tcPr>
            <w:tcW w:w="1110" w:type="dxa"/>
            <w:vAlign w:val="center"/>
          </w:tcPr>
          <w:p w14:paraId="672106FA">
            <w:pPr>
              <w:widowControl/>
              <w:spacing w:line="240" w:lineRule="auto"/>
              <w:ind w:firstLine="0" w:firstLineChars="0"/>
              <w:jc w:val="center"/>
              <w:rPr>
                <w:rFonts w:hint="default" w:ascii="Times New Roman" w:hAnsi="Times New Roman" w:cs="Times New Roman" w:eastAsiaTheme="minorEastAsia"/>
                <w:color w:val="auto"/>
                <w:sz w:val="21"/>
                <w:szCs w:val="21"/>
                <w:lang w:val="en-US" w:eastAsia="zh-CN"/>
              </w:rPr>
            </w:pPr>
            <w:r>
              <w:rPr>
                <w:rFonts w:hint="eastAsia" w:cs="Times New Roman"/>
                <w:color w:val="auto"/>
                <w:lang w:val="en-US" w:eastAsia="zh-CN"/>
              </w:rPr>
              <w:t>较</w:t>
            </w:r>
            <w:r>
              <w:rPr>
                <w:rFonts w:hint="default" w:ascii="Times New Roman" w:hAnsi="Times New Roman" w:cs="Times New Roman"/>
                <w:color w:val="auto"/>
              </w:rPr>
              <w:t>合规</w:t>
            </w:r>
          </w:p>
        </w:tc>
        <w:tc>
          <w:tcPr>
            <w:tcW w:w="759" w:type="dxa"/>
            <w:vAlign w:val="center"/>
          </w:tcPr>
          <w:p w14:paraId="26BE1BB0">
            <w:pPr>
              <w:widowControl/>
              <w:spacing w:line="240" w:lineRule="auto"/>
              <w:ind w:firstLine="0" w:firstLineChars="0"/>
              <w:jc w:val="center"/>
              <w:rPr>
                <w:rFonts w:hint="default" w:ascii="Times New Roman" w:hAnsi="Times New Roman" w:cs="Times New Roman" w:eastAsiaTheme="minorEastAsia"/>
                <w:color w:val="auto"/>
                <w:sz w:val="21"/>
                <w:szCs w:val="21"/>
              </w:rPr>
            </w:pPr>
            <w:r>
              <w:rPr>
                <w:rFonts w:hint="default" w:ascii="Times New Roman" w:hAnsi="Times New Roman" w:cs="Times New Roman"/>
                <w:color w:val="auto"/>
              </w:rPr>
              <w:t>5.00</w:t>
            </w:r>
          </w:p>
        </w:tc>
        <w:tc>
          <w:tcPr>
            <w:tcW w:w="690" w:type="dxa"/>
            <w:vAlign w:val="center"/>
          </w:tcPr>
          <w:p w14:paraId="64C9DE1B">
            <w:pPr>
              <w:widowControl/>
              <w:spacing w:line="240" w:lineRule="auto"/>
              <w:ind w:firstLine="0" w:firstLineChars="0"/>
              <w:jc w:val="center"/>
              <w:rPr>
                <w:rFonts w:hint="default" w:ascii="Times New Roman" w:hAnsi="Times New Roman" w:cs="Times New Roman" w:eastAsiaTheme="minorEastAsia"/>
                <w:color w:val="auto"/>
                <w:sz w:val="21"/>
                <w:szCs w:val="21"/>
              </w:rPr>
            </w:pPr>
            <w:r>
              <w:rPr>
                <w:rFonts w:hint="eastAsia" w:cs="Times New Roman"/>
                <w:color w:val="auto"/>
                <w:lang w:val="en-US" w:eastAsia="zh-CN"/>
              </w:rPr>
              <w:t>4.0</w:t>
            </w:r>
            <w:r>
              <w:rPr>
                <w:rFonts w:hint="default" w:ascii="Times New Roman" w:hAnsi="Times New Roman" w:cs="Times New Roman"/>
                <w:color w:val="auto"/>
              </w:rPr>
              <w:t>0</w:t>
            </w:r>
          </w:p>
        </w:tc>
        <w:tc>
          <w:tcPr>
            <w:tcW w:w="838" w:type="dxa"/>
            <w:vAlign w:val="center"/>
          </w:tcPr>
          <w:p w14:paraId="3DB03CE0">
            <w:pPr>
              <w:widowControl/>
              <w:spacing w:line="240" w:lineRule="auto"/>
              <w:ind w:firstLine="0" w:firstLineChars="0"/>
              <w:jc w:val="center"/>
              <w:rPr>
                <w:rFonts w:hint="default" w:ascii="Times New Roman" w:hAnsi="Times New Roman" w:cs="Times New Roman"/>
                <w:color w:val="auto"/>
              </w:rPr>
            </w:pPr>
            <w:r>
              <w:rPr>
                <w:rFonts w:hint="eastAsia" w:ascii="Times New Roman" w:hAnsi="Times New Roman" w:cs="Times New Roman"/>
                <w:color w:val="auto"/>
                <w:lang w:val="en-US" w:eastAsia="zh-CN"/>
              </w:rPr>
              <w:t>80.00%</w:t>
            </w:r>
          </w:p>
        </w:tc>
      </w:tr>
      <w:tr w14:paraId="4D600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14:paraId="5235CFBF">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cs="Times New Roman" w:eastAsiaTheme="minorEastAsia"/>
                <w:color w:val="auto"/>
                <w:sz w:val="21"/>
                <w:szCs w:val="21"/>
              </w:rPr>
            </w:pPr>
          </w:p>
        </w:tc>
        <w:tc>
          <w:tcPr>
            <w:tcW w:w="661" w:type="pct"/>
            <w:vMerge w:val="restart"/>
            <w:vAlign w:val="center"/>
          </w:tcPr>
          <w:p w14:paraId="345B6BD2">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kern w:val="0"/>
                <w:sz w:val="21"/>
                <w:szCs w:val="21"/>
                <w:lang w:bidi="ar"/>
              </w:rPr>
              <w:t>B2 组织实施（12.00分）　</w:t>
            </w:r>
          </w:p>
        </w:tc>
        <w:tc>
          <w:tcPr>
            <w:tcW w:w="1201" w:type="pct"/>
            <w:vAlign w:val="center"/>
          </w:tcPr>
          <w:p w14:paraId="4F757D7C">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kern w:val="0"/>
                <w:sz w:val="21"/>
                <w:szCs w:val="21"/>
                <w:lang w:bidi="ar"/>
              </w:rPr>
              <w:t>B21管理制度健全性</w:t>
            </w:r>
          </w:p>
        </w:tc>
        <w:tc>
          <w:tcPr>
            <w:tcW w:w="500" w:type="pct"/>
            <w:vAlign w:val="center"/>
          </w:tcPr>
          <w:p w14:paraId="64796A7E">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kern w:val="0"/>
                <w:sz w:val="21"/>
                <w:szCs w:val="21"/>
                <w:lang w:bidi="ar"/>
              </w:rPr>
              <w:t>健全</w:t>
            </w:r>
          </w:p>
        </w:tc>
        <w:tc>
          <w:tcPr>
            <w:tcW w:w="1110" w:type="dxa"/>
            <w:vAlign w:val="center"/>
          </w:tcPr>
          <w:p w14:paraId="387A01FB">
            <w:pPr>
              <w:widowControl/>
              <w:spacing w:line="240" w:lineRule="auto"/>
              <w:ind w:firstLine="0" w:firstLineChars="0"/>
              <w:jc w:val="center"/>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color w:val="auto"/>
              </w:rPr>
              <w:t>健全</w:t>
            </w:r>
          </w:p>
        </w:tc>
        <w:tc>
          <w:tcPr>
            <w:tcW w:w="759" w:type="dxa"/>
            <w:vAlign w:val="center"/>
          </w:tcPr>
          <w:p w14:paraId="6FBD738B">
            <w:pPr>
              <w:widowControl/>
              <w:spacing w:line="240" w:lineRule="auto"/>
              <w:ind w:firstLine="0" w:firstLineChars="0"/>
              <w:jc w:val="center"/>
              <w:rPr>
                <w:rFonts w:hint="default" w:ascii="Times New Roman" w:hAnsi="Times New Roman" w:cs="Times New Roman" w:eastAsiaTheme="minorEastAsia"/>
                <w:color w:val="auto"/>
                <w:sz w:val="21"/>
                <w:szCs w:val="21"/>
              </w:rPr>
            </w:pPr>
            <w:r>
              <w:rPr>
                <w:rFonts w:hint="default" w:ascii="Times New Roman" w:hAnsi="Times New Roman" w:cs="Times New Roman"/>
                <w:color w:val="auto"/>
              </w:rPr>
              <w:t>4.00</w:t>
            </w:r>
          </w:p>
        </w:tc>
        <w:tc>
          <w:tcPr>
            <w:tcW w:w="690" w:type="dxa"/>
            <w:vAlign w:val="center"/>
          </w:tcPr>
          <w:p w14:paraId="5173637D">
            <w:pPr>
              <w:widowControl/>
              <w:spacing w:line="240" w:lineRule="auto"/>
              <w:ind w:firstLine="0" w:firstLineChars="0"/>
              <w:jc w:val="center"/>
              <w:rPr>
                <w:rFonts w:hint="default" w:ascii="Times New Roman" w:hAnsi="Times New Roman" w:cs="Times New Roman" w:eastAsiaTheme="minorEastAsia"/>
                <w:color w:val="auto"/>
                <w:sz w:val="21"/>
                <w:szCs w:val="21"/>
              </w:rPr>
            </w:pPr>
            <w:r>
              <w:rPr>
                <w:rFonts w:hint="default" w:ascii="Times New Roman" w:hAnsi="Times New Roman" w:cs="Times New Roman"/>
                <w:color w:val="auto"/>
              </w:rPr>
              <w:t>4.00</w:t>
            </w:r>
          </w:p>
        </w:tc>
        <w:tc>
          <w:tcPr>
            <w:tcW w:w="838" w:type="dxa"/>
            <w:vAlign w:val="center"/>
          </w:tcPr>
          <w:p w14:paraId="1AABB756">
            <w:pPr>
              <w:widowControl/>
              <w:spacing w:line="240" w:lineRule="auto"/>
              <w:ind w:firstLine="0" w:firstLineChars="0"/>
              <w:jc w:val="center"/>
              <w:rPr>
                <w:rFonts w:hint="default" w:ascii="Times New Roman" w:hAnsi="Times New Roman" w:cs="Times New Roman"/>
                <w:color w:val="auto"/>
              </w:rPr>
            </w:pPr>
            <w:r>
              <w:rPr>
                <w:rFonts w:hint="eastAsia" w:ascii="Times New Roman" w:hAnsi="Times New Roman" w:cs="Times New Roman"/>
                <w:color w:val="auto"/>
                <w:lang w:val="en-US" w:eastAsia="zh-CN"/>
              </w:rPr>
              <w:t>100.00%</w:t>
            </w:r>
          </w:p>
        </w:tc>
      </w:tr>
      <w:tr w14:paraId="3E18F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14:paraId="06CAE14B">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cs="Times New Roman" w:eastAsiaTheme="minorEastAsia"/>
                <w:color w:val="auto"/>
                <w:sz w:val="21"/>
                <w:szCs w:val="21"/>
              </w:rPr>
            </w:pPr>
          </w:p>
        </w:tc>
        <w:tc>
          <w:tcPr>
            <w:tcW w:w="661" w:type="pct"/>
            <w:vMerge w:val="continue"/>
            <w:vAlign w:val="center"/>
          </w:tcPr>
          <w:p w14:paraId="4D7E8094">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cs="Times New Roman" w:eastAsiaTheme="minorEastAsia"/>
                <w:color w:val="auto"/>
                <w:sz w:val="21"/>
                <w:szCs w:val="21"/>
              </w:rPr>
            </w:pPr>
          </w:p>
        </w:tc>
        <w:tc>
          <w:tcPr>
            <w:tcW w:w="1201" w:type="pct"/>
            <w:vAlign w:val="center"/>
          </w:tcPr>
          <w:p w14:paraId="0705E8BA">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kern w:val="0"/>
                <w:sz w:val="21"/>
                <w:szCs w:val="21"/>
                <w:lang w:bidi="ar"/>
              </w:rPr>
              <w:t>B22制度执行有效性</w:t>
            </w:r>
          </w:p>
        </w:tc>
        <w:tc>
          <w:tcPr>
            <w:tcW w:w="500" w:type="pct"/>
            <w:vAlign w:val="center"/>
          </w:tcPr>
          <w:p w14:paraId="0C903051">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kern w:val="0"/>
                <w:sz w:val="21"/>
                <w:szCs w:val="21"/>
                <w:lang w:bidi="ar"/>
              </w:rPr>
              <w:t>有效</w:t>
            </w:r>
          </w:p>
        </w:tc>
        <w:tc>
          <w:tcPr>
            <w:tcW w:w="1110" w:type="dxa"/>
            <w:vAlign w:val="center"/>
          </w:tcPr>
          <w:p w14:paraId="3953D47F">
            <w:pPr>
              <w:widowControl/>
              <w:spacing w:line="240" w:lineRule="auto"/>
              <w:ind w:firstLine="0" w:firstLineChars="0"/>
              <w:jc w:val="center"/>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color w:val="auto"/>
              </w:rPr>
              <w:t>较有效</w:t>
            </w:r>
          </w:p>
        </w:tc>
        <w:tc>
          <w:tcPr>
            <w:tcW w:w="759" w:type="dxa"/>
            <w:vAlign w:val="center"/>
          </w:tcPr>
          <w:p w14:paraId="67F85082">
            <w:pPr>
              <w:widowControl/>
              <w:spacing w:line="240" w:lineRule="auto"/>
              <w:ind w:firstLine="0" w:firstLineChars="0"/>
              <w:jc w:val="center"/>
              <w:rPr>
                <w:rFonts w:hint="eastAsia" w:eastAsiaTheme="minorEastAsia"/>
                <w:lang w:val="en-US" w:eastAsia="zh-CN"/>
              </w:rPr>
            </w:pPr>
            <w:r>
              <w:rPr>
                <w:rFonts w:hint="default" w:ascii="Times New Roman" w:hAnsi="Times New Roman" w:cs="Times New Roman"/>
                <w:color w:val="auto"/>
              </w:rPr>
              <w:t>8.0</w:t>
            </w:r>
            <w:r>
              <w:rPr>
                <w:rFonts w:hint="eastAsia" w:ascii="Times New Roman" w:hAnsi="Times New Roman" w:cs="Times New Roman"/>
                <w:color w:val="auto"/>
                <w:lang w:val="en-US" w:eastAsia="zh-CN"/>
              </w:rPr>
              <w:t>0</w:t>
            </w:r>
          </w:p>
        </w:tc>
        <w:tc>
          <w:tcPr>
            <w:tcW w:w="690" w:type="dxa"/>
            <w:vAlign w:val="center"/>
          </w:tcPr>
          <w:p w14:paraId="62C06370">
            <w:pPr>
              <w:widowControl/>
              <w:spacing w:line="240" w:lineRule="auto"/>
              <w:ind w:firstLine="0" w:firstLineChars="0"/>
              <w:jc w:val="center"/>
              <w:rPr>
                <w:rFonts w:hint="default" w:ascii="Times New Roman" w:hAnsi="Times New Roman" w:cs="Times New Roman" w:eastAsiaTheme="minorEastAsia"/>
                <w:color w:val="auto"/>
                <w:sz w:val="21"/>
                <w:szCs w:val="21"/>
                <w:lang w:val="en-US"/>
              </w:rPr>
            </w:pPr>
            <w:r>
              <w:rPr>
                <w:rFonts w:hint="eastAsia" w:cs="Times New Roman"/>
                <w:color w:val="auto"/>
                <w:lang w:val="en-US" w:eastAsia="zh-CN"/>
              </w:rPr>
              <w:t>2.50</w:t>
            </w:r>
          </w:p>
        </w:tc>
        <w:tc>
          <w:tcPr>
            <w:tcW w:w="838" w:type="dxa"/>
            <w:vAlign w:val="center"/>
          </w:tcPr>
          <w:p w14:paraId="4994B7F4">
            <w:pPr>
              <w:widowControl/>
              <w:spacing w:line="240" w:lineRule="auto"/>
              <w:ind w:firstLine="0" w:firstLineChars="0"/>
              <w:jc w:val="center"/>
              <w:rPr>
                <w:rFonts w:hint="default" w:ascii="Times New Roman" w:hAnsi="Times New Roman" w:cs="Times New Roman"/>
                <w:color w:val="auto"/>
              </w:rPr>
            </w:pPr>
            <w:r>
              <w:rPr>
                <w:rFonts w:hint="eastAsia" w:ascii="Times New Roman" w:hAnsi="Times New Roman" w:cs="Times New Roman"/>
                <w:color w:val="auto"/>
                <w:lang w:val="en-US" w:eastAsia="zh-CN"/>
              </w:rPr>
              <w:t>31.25%</w:t>
            </w:r>
          </w:p>
        </w:tc>
      </w:tr>
      <w:tr w14:paraId="7982A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gridSpan w:val="3"/>
            <w:vAlign w:val="center"/>
          </w:tcPr>
          <w:p w14:paraId="12D8ED84">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合计</w:t>
            </w:r>
          </w:p>
        </w:tc>
        <w:tc>
          <w:tcPr>
            <w:tcW w:w="500" w:type="pct"/>
            <w:vAlign w:val="center"/>
          </w:tcPr>
          <w:p w14:paraId="5C27DD58">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eastAsiaTheme="minorEastAsia"/>
                <w:color w:val="auto"/>
                <w:sz w:val="21"/>
                <w:szCs w:val="21"/>
              </w:rPr>
            </w:pPr>
          </w:p>
        </w:tc>
        <w:tc>
          <w:tcPr>
            <w:tcW w:w="1110" w:type="dxa"/>
            <w:vAlign w:val="center"/>
          </w:tcPr>
          <w:p w14:paraId="73AF59B7">
            <w:pPr>
              <w:widowControl/>
              <w:spacing w:line="240" w:lineRule="auto"/>
              <w:ind w:firstLine="0" w:firstLineChars="0"/>
              <w:jc w:val="center"/>
              <w:rPr>
                <w:rFonts w:hint="default" w:ascii="Times New Roman" w:hAnsi="Times New Roman" w:cs="Times New Roman" w:eastAsiaTheme="minorEastAsia"/>
                <w:color w:val="auto"/>
                <w:sz w:val="21"/>
                <w:szCs w:val="21"/>
                <w:lang w:val="en-US" w:eastAsia="zh-CN"/>
              </w:rPr>
            </w:pPr>
          </w:p>
        </w:tc>
        <w:tc>
          <w:tcPr>
            <w:tcW w:w="759" w:type="dxa"/>
            <w:vAlign w:val="center"/>
          </w:tcPr>
          <w:p w14:paraId="0ABB3B6A">
            <w:pPr>
              <w:widowControl/>
              <w:spacing w:line="240" w:lineRule="auto"/>
              <w:ind w:firstLine="0" w:firstLineChars="0"/>
              <w:jc w:val="center"/>
              <w:rPr>
                <w:rFonts w:hint="default" w:ascii="Times New Roman" w:hAnsi="Times New Roman" w:cs="Times New Roman" w:eastAsiaTheme="minorEastAsia"/>
                <w:color w:val="auto"/>
                <w:sz w:val="21"/>
                <w:szCs w:val="21"/>
              </w:rPr>
            </w:pPr>
            <w:r>
              <w:rPr>
                <w:rFonts w:hint="default" w:ascii="Times New Roman" w:hAnsi="Times New Roman" w:cs="Times New Roman"/>
                <w:color w:val="auto"/>
                <w:lang w:val="en-US" w:eastAsia="zh-CN"/>
              </w:rPr>
              <w:t>25</w:t>
            </w:r>
            <w:r>
              <w:rPr>
                <w:rFonts w:hint="default" w:ascii="Times New Roman" w:hAnsi="Times New Roman" w:cs="Times New Roman"/>
                <w:color w:val="auto"/>
              </w:rPr>
              <w:t>.00</w:t>
            </w:r>
          </w:p>
        </w:tc>
        <w:tc>
          <w:tcPr>
            <w:tcW w:w="690" w:type="dxa"/>
            <w:vAlign w:val="center"/>
          </w:tcPr>
          <w:p w14:paraId="6F8D0466">
            <w:pPr>
              <w:widowControl/>
              <w:spacing w:line="240" w:lineRule="auto"/>
              <w:ind w:firstLine="0" w:firstLineChars="0"/>
              <w:jc w:val="center"/>
              <w:rPr>
                <w:rFonts w:hint="default" w:ascii="Times New Roman" w:hAnsi="Times New Roman" w:cs="Times New Roman" w:eastAsiaTheme="minorEastAsia"/>
                <w:color w:val="auto"/>
                <w:sz w:val="21"/>
                <w:szCs w:val="21"/>
                <w:lang w:val="en-US"/>
              </w:rPr>
            </w:pPr>
            <w:r>
              <w:rPr>
                <w:rFonts w:hint="eastAsia" w:cs="Times New Roman"/>
                <w:color w:val="auto"/>
                <w:lang w:val="en-US" w:eastAsia="zh-CN"/>
              </w:rPr>
              <w:t>18.50</w:t>
            </w:r>
          </w:p>
        </w:tc>
        <w:tc>
          <w:tcPr>
            <w:tcW w:w="838" w:type="dxa"/>
            <w:vAlign w:val="center"/>
          </w:tcPr>
          <w:p w14:paraId="08012585">
            <w:pPr>
              <w:widowControl/>
              <w:spacing w:line="240" w:lineRule="auto"/>
              <w:ind w:firstLine="0" w:firstLineChars="0"/>
              <w:jc w:val="center"/>
              <w:rPr>
                <w:rFonts w:hint="default" w:ascii="Times New Roman" w:hAnsi="Times New Roman" w:cs="Times New Roman"/>
                <w:color w:val="auto"/>
              </w:rPr>
            </w:pPr>
            <w:r>
              <w:rPr>
                <w:rFonts w:hint="eastAsia" w:ascii="Times New Roman" w:hAnsi="Times New Roman" w:cs="Times New Roman"/>
                <w:color w:val="auto"/>
                <w:lang w:val="en-US" w:eastAsia="zh-CN"/>
              </w:rPr>
              <w:t>74.00%</w:t>
            </w:r>
          </w:p>
        </w:tc>
      </w:tr>
    </w:tbl>
    <w:p w14:paraId="347F8278">
      <w:pPr>
        <w:pageBreakBefore w:val="0"/>
        <w:kinsoku/>
        <w:wordWrap/>
        <w:overflowPunct/>
        <w:topLinePunct w:val="0"/>
        <w:autoSpaceDE/>
        <w:autoSpaceDN/>
        <w:bidi w:val="0"/>
        <w:snapToGrid w:val="0"/>
        <w:spacing w:line="360" w:lineRule="auto"/>
        <w:ind w:firstLine="422"/>
        <w:rPr>
          <w:rFonts w:ascii="Times New Roman" w:hAnsi="Times New Roman" w:eastAsia="宋体" w:cs="Times New Roman"/>
          <w:b/>
          <w:bCs/>
          <w:color w:val="auto"/>
        </w:rPr>
      </w:pPr>
    </w:p>
    <w:p w14:paraId="5802BB16">
      <w:pPr>
        <w:pageBreakBefore w:val="0"/>
        <w:kinsoku/>
        <w:wordWrap/>
        <w:overflowPunct/>
        <w:topLinePunct w:val="0"/>
        <w:autoSpaceDE/>
        <w:autoSpaceDN/>
        <w:bidi w:val="0"/>
        <w:snapToGrid w:val="0"/>
        <w:spacing w:line="360" w:lineRule="auto"/>
        <w:ind w:firstLine="422"/>
        <w:rPr>
          <w:rFonts w:hint="default" w:ascii="Times New Roman" w:hAnsi="Times New Roman" w:cs="Times New Roman"/>
          <w:color w:val="auto"/>
        </w:rPr>
      </w:pPr>
      <w:r>
        <w:rPr>
          <w:rFonts w:hint="default" w:ascii="Times New Roman" w:hAnsi="Times New Roman" w:cs="Times New Roman" w:eastAsiaTheme="minorEastAsia"/>
          <w:b/>
          <w:bCs/>
          <w:color w:val="auto"/>
        </w:rPr>
        <w:t>指标得分分析</w:t>
      </w:r>
      <w:r>
        <w:rPr>
          <w:rFonts w:hint="default" w:ascii="Times New Roman" w:hAnsi="Times New Roman" w:cs="Times New Roman"/>
          <w:b/>
          <w:bCs/>
          <w:color w:val="auto"/>
        </w:rPr>
        <w:t>：</w:t>
      </w:r>
    </w:p>
    <w:p w14:paraId="21898651">
      <w:pPr>
        <w:numPr>
          <w:ilvl w:val="0"/>
          <w:numId w:val="2"/>
        </w:numPr>
        <w:spacing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B11资金到位率指标：</w:t>
      </w:r>
    </w:p>
    <w:p w14:paraId="22E40426">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lang w:val="zh-TW" w:eastAsia="zh-CN"/>
        </w:rPr>
      </w:pPr>
      <w:r>
        <w:rPr>
          <w:rFonts w:hint="default" w:ascii="Times New Roman" w:hAnsi="Times New Roman" w:cs="Times New Roman"/>
          <w:color w:val="auto"/>
          <w:lang w:val="zh-TW" w:eastAsia="zh-CN"/>
        </w:rPr>
        <w:t>根据《关于提前下达2024年中央专项彩票公益金支持地方社会公益事业发展（社会福利）资金预算的通知》（伊州财综〔2023〕36号）可知，该项目预算资金为18.00万元，</w:t>
      </w:r>
      <w:r>
        <w:rPr>
          <w:rFonts w:hint="eastAsia" w:cs="Times New Roman"/>
          <w:color w:val="auto"/>
          <w:lang w:val="en-US" w:eastAsia="zh-CN"/>
        </w:rPr>
        <w:t>实际到位</w:t>
      </w:r>
      <w:r>
        <w:rPr>
          <w:rFonts w:hint="default" w:ascii="Times New Roman" w:hAnsi="Times New Roman" w:cs="Times New Roman"/>
          <w:color w:val="auto"/>
          <w:lang w:val="zh-TW" w:eastAsia="zh-CN"/>
        </w:rPr>
        <w:t>资金为18.00万元</w:t>
      </w:r>
      <w:r>
        <w:rPr>
          <w:rFonts w:hint="eastAsia" w:cs="Times New Roman"/>
          <w:color w:val="auto"/>
          <w:lang w:val="zh-TW" w:eastAsia="zh-CN"/>
        </w:rPr>
        <w:t>，</w:t>
      </w:r>
      <w:r>
        <w:rPr>
          <w:rFonts w:hint="default" w:ascii="Times New Roman" w:hAnsi="Times New Roman" w:cs="Times New Roman"/>
          <w:color w:val="auto"/>
          <w:lang w:val="zh-TW" w:eastAsia="zh-CN"/>
        </w:rPr>
        <w:t>资金到位率为100.00%。</w:t>
      </w:r>
    </w:p>
    <w:p w14:paraId="7FFD7110">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lang w:val="zh-TW" w:eastAsia="zh-CN"/>
        </w:rPr>
      </w:pPr>
      <w:r>
        <w:rPr>
          <w:rFonts w:hint="default" w:ascii="Times New Roman" w:hAnsi="Times New Roman" w:cs="Times New Roman"/>
          <w:color w:val="auto"/>
          <w:lang w:val="zh-TW" w:eastAsia="zh-CN"/>
        </w:rPr>
        <w:t>该指标满分为3.00分，根据评分标准得3.00分。</w:t>
      </w:r>
    </w:p>
    <w:p w14:paraId="7C0F7E9F">
      <w:pPr>
        <w:numPr>
          <w:ilvl w:val="0"/>
          <w:numId w:val="2"/>
        </w:numPr>
        <w:spacing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B12预算执行率指标：</w:t>
      </w:r>
    </w:p>
    <w:p w14:paraId="4EBCB857">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lang w:val="zh-TW" w:eastAsia="zh-CN"/>
        </w:rPr>
      </w:pPr>
      <w:r>
        <w:rPr>
          <w:rFonts w:hint="default" w:ascii="Times New Roman" w:hAnsi="Times New Roman" w:cs="Times New Roman"/>
          <w:color w:val="auto"/>
          <w:lang w:val="zh-TW" w:eastAsia="zh-CN"/>
        </w:rPr>
        <w:t>根据实施单位提供的国库集中支付凭证资料显示，该项目资金实际支出18.00万元，预算执行率为100.00%。</w:t>
      </w:r>
    </w:p>
    <w:p w14:paraId="5A323941">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lang w:val="zh-TW" w:eastAsia="zh-CN"/>
        </w:rPr>
      </w:pPr>
      <w:r>
        <w:rPr>
          <w:rFonts w:hint="default" w:ascii="Times New Roman" w:hAnsi="Times New Roman" w:cs="Times New Roman"/>
          <w:color w:val="auto"/>
          <w:lang w:val="zh-TW" w:eastAsia="zh-CN"/>
        </w:rPr>
        <w:t>该指标满分为5.00分，根据评分标准得5.00分。</w:t>
      </w:r>
    </w:p>
    <w:p w14:paraId="3BD90FE8">
      <w:pPr>
        <w:numPr>
          <w:ilvl w:val="0"/>
          <w:numId w:val="2"/>
        </w:numPr>
        <w:spacing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B13资金使用合规性指标：</w:t>
      </w:r>
    </w:p>
    <w:p w14:paraId="6090A5D9">
      <w:pPr>
        <w:pageBreakBefore w:val="0"/>
        <w:kinsoku/>
        <w:wordWrap/>
        <w:overflowPunct/>
        <w:topLinePunct w:val="0"/>
        <w:autoSpaceDE/>
        <w:autoSpaceDN/>
        <w:bidi w:val="0"/>
        <w:snapToGrid w:val="0"/>
        <w:spacing w:line="360" w:lineRule="auto"/>
        <w:ind w:firstLine="420"/>
        <w:rPr>
          <w:rFonts w:hint="eastAsia" w:cs="Times New Roman"/>
          <w:color w:val="auto"/>
          <w:lang w:val="zh-TW" w:eastAsia="zh-CN"/>
        </w:rPr>
      </w:pPr>
      <w:r>
        <w:rPr>
          <w:rFonts w:hint="default" w:ascii="Times New Roman" w:hAnsi="Times New Roman" w:cs="Times New Roman"/>
          <w:color w:val="auto"/>
          <w:lang w:val="zh-TW" w:eastAsia="zh-CN"/>
        </w:rPr>
        <w:t>①经检查该项目支出凭证，项目资金用于该项目的支付</w:t>
      </w:r>
      <w:r>
        <w:rPr>
          <w:rFonts w:hint="default" w:ascii="Times New Roman" w:hAnsi="Times New Roman" w:cs="Times New Roman"/>
          <w:color w:val="auto"/>
          <w:lang w:val="en-US" w:eastAsia="zh-CN"/>
        </w:rPr>
        <w:t>24</w:t>
      </w:r>
      <w:r>
        <w:rPr>
          <w:rFonts w:hint="default" w:ascii="Times New Roman" w:hAnsi="Times New Roman" w:cs="Times New Roman"/>
          <w:color w:val="auto"/>
          <w:lang w:val="zh-TW" w:eastAsia="zh-CN"/>
        </w:rPr>
        <w:t>名孤儿助学金，伊宁县民政局完成助学金发放的受理、确认工作后，申请国库集中支付直接将助学金发放到受助孤儿本人的银行卡，资金使用符合财务管理制度</w:t>
      </w:r>
      <w:r>
        <w:rPr>
          <w:rFonts w:hint="eastAsia" w:cs="Times New Roman"/>
          <w:color w:val="auto"/>
          <w:lang w:val="zh-TW" w:eastAsia="zh-CN"/>
        </w:rPr>
        <w:t>。</w:t>
      </w:r>
    </w:p>
    <w:p w14:paraId="2CAD00B4">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lang w:val="zh-TW" w:eastAsia="zh-CN"/>
        </w:rPr>
      </w:pPr>
      <w:r>
        <w:rPr>
          <w:rFonts w:hint="default" w:ascii="Times New Roman" w:hAnsi="Times New Roman" w:cs="Times New Roman"/>
          <w:color w:val="auto"/>
          <w:lang w:val="zh-TW" w:eastAsia="zh-CN"/>
        </w:rPr>
        <w:t>②经检查该项目资金拨付资料，未发现截留、挤占、挪用、虚列支出等情况。</w:t>
      </w:r>
    </w:p>
    <w:p w14:paraId="4047E160">
      <w:pPr>
        <w:spacing w:line="360" w:lineRule="auto"/>
        <w:ind w:firstLine="420"/>
        <w:rPr>
          <w:rFonts w:hint="default" w:cs="Times New Roman"/>
          <w:color w:val="auto"/>
          <w:highlight w:val="none"/>
          <w:lang w:val="en-US" w:eastAsia="zh-CN"/>
        </w:rPr>
      </w:pPr>
      <w:r>
        <w:rPr>
          <w:rFonts w:hint="default" w:ascii="Times New Roman" w:hAnsi="Times New Roman" w:cs="Times New Roman"/>
          <w:color w:val="auto"/>
          <w:lang w:val="zh-TW" w:eastAsia="zh-CN"/>
        </w:rPr>
        <w:t>③</w:t>
      </w:r>
      <w:r>
        <w:rPr>
          <w:rFonts w:hint="eastAsia" w:cs="Times New Roman"/>
          <w:color w:val="auto"/>
          <w:lang w:val="en-US" w:eastAsia="zh-CN"/>
        </w:rPr>
        <w:t>经查阅项目实施单位提供的财务支出凭证</w:t>
      </w:r>
      <w:r>
        <w:rPr>
          <w:rFonts w:hint="default" w:ascii="Times New Roman" w:hAnsi="Times New Roman" w:cs="Times New Roman"/>
          <w:color w:val="auto"/>
          <w:lang w:val="zh-TW" w:eastAsia="zh-CN"/>
        </w:rPr>
        <w:t>，</w:t>
      </w:r>
      <w:r>
        <w:rPr>
          <w:rFonts w:hint="eastAsia" w:cs="Times New Roman"/>
          <w:color w:val="auto"/>
          <w:lang w:val="en-US" w:eastAsia="zh-CN"/>
        </w:rPr>
        <w:t>未见按照</w:t>
      </w:r>
      <w:r>
        <w:rPr>
          <w:rFonts w:hint="default" w:ascii="Times New Roman" w:hAnsi="Times New Roman" w:cs="Times New Roman"/>
          <w:color w:val="auto"/>
          <w:lang w:val="zh-TW" w:eastAsia="zh-CN"/>
        </w:rPr>
        <w:t>《</w:t>
      </w:r>
      <w:r>
        <w:rPr>
          <w:rFonts w:hint="eastAsia" w:cs="Times New Roman"/>
          <w:color w:val="auto"/>
          <w:lang w:val="en-US" w:eastAsia="zh-CN"/>
        </w:rPr>
        <w:t>伊宁县民政局财务管理制度</w:t>
      </w:r>
      <w:r>
        <w:rPr>
          <w:rFonts w:hint="default" w:ascii="Times New Roman" w:hAnsi="Times New Roman" w:cs="Times New Roman"/>
          <w:color w:val="auto"/>
          <w:lang w:val="zh-TW" w:eastAsia="zh-CN"/>
        </w:rPr>
        <w:t>》</w:t>
      </w:r>
      <w:r>
        <w:rPr>
          <w:rFonts w:hint="eastAsia" w:ascii="Times New Roman" w:hAnsi="Times New Roman" w:cs="Times New Roman"/>
          <w:color w:val="auto"/>
          <w:lang w:val="en-US" w:eastAsia="zh-CN"/>
        </w:rPr>
        <w:t>要求：“</w:t>
      </w:r>
      <w:r>
        <w:rPr>
          <w:rFonts w:hint="eastAsia" w:cs="Times New Roman"/>
          <w:color w:val="auto"/>
          <w:lang w:val="en-US" w:eastAsia="zh-CN"/>
        </w:rPr>
        <w:t>单项或整体开支3,000.00元以上（含3,000.00元），须经局党组领导开会研究决定后报账。</w:t>
      </w:r>
      <w:r>
        <w:rPr>
          <w:rFonts w:hint="eastAsia" w:ascii="Times New Roman" w:hAnsi="Times New Roman" w:cs="Times New Roman"/>
          <w:color w:val="auto"/>
          <w:lang w:val="en-US" w:eastAsia="zh-CN"/>
        </w:rPr>
        <w:t>”</w:t>
      </w:r>
      <w:r>
        <w:rPr>
          <w:rFonts w:hint="default" w:ascii="Times New Roman" w:hAnsi="Times New Roman" w:cs="Times New Roman"/>
          <w:color w:val="auto"/>
          <w:lang w:val="en-US" w:eastAsia="zh-CN"/>
        </w:rPr>
        <w:t>要求</w:t>
      </w:r>
      <w:r>
        <w:rPr>
          <w:rFonts w:hint="eastAsia" w:cs="Times New Roman"/>
          <w:color w:val="auto"/>
          <w:highlight w:val="none"/>
          <w:lang w:val="en-US" w:eastAsia="zh-CN"/>
        </w:rPr>
        <w:t>提供</w:t>
      </w:r>
      <w:r>
        <w:rPr>
          <w:rFonts w:hint="eastAsia" w:cs="Times New Roman"/>
          <w:color w:val="auto"/>
          <w:lang w:val="en-US" w:eastAsia="zh-CN"/>
        </w:rPr>
        <w:t>局党组关于</w:t>
      </w:r>
      <w:r>
        <w:rPr>
          <w:rFonts w:hint="eastAsia" w:cs="Times New Roman"/>
          <w:color w:val="auto"/>
          <w:highlight w:val="none"/>
          <w:lang w:val="en-US" w:eastAsia="zh-CN"/>
        </w:rPr>
        <w:t>重大支出的集体决策</w:t>
      </w:r>
      <w:r>
        <w:rPr>
          <w:rFonts w:hint="eastAsia" w:cs="Times New Roman"/>
          <w:color w:val="auto"/>
          <w:lang w:val="en-US" w:eastAsia="zh-CN"/>
        </w:rPr>
        <w:t>会议纪要</w:t>
      </w:r>
      <w:r>
        <w:rPr>
          <w:rFonts w:hint="eastAsia" w:cs="Times New Roman"/>
          <w:color w:val="auto"/>
          <w:highlight w:val="none"/>
          <w:lang w:val="en-US" w:eastAsia="zh-CN"/>
        </w:rPr>
        <w:t>。按照评分标准，扣1.00分。</w:t>
      </w:r>
    </w:p>
    <w:p w14:paraId="2C5F17F2">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lang w:val="zh-TW" w:eastAsia="zh-CN"/>
        </w:rPr>
      </w:pPr>
      <w:r>
        <w:rPr>
          <w:rFonts w:hint="default" w:ascii="Times New Roman" w:hAnsi="Times New Roman" w:cs="Times New Roman"/>
          <w:color w:val="auto"/>
          <w:lang w:val="zh-TW" w:eastAsia="zh-CN"/>
        </w:rPr>
        <w:t>该指标满分为5.00分，根据评分标准得</w:t>
      </w:r>
      <w:r>
        <w:rPr>
          <w:rFonts w:hint="eastAsia" w:cs="Times New Roman"/>
          <w:color w:val="auto"/>
          <w:lang w:val="en-US" w:eastAsia="zh-CN"/>
        </w:rPr>
        <w:t>4.0</w:t>
      </w:r>
      <w:r>
        <w:rPr>
          <w:rFonts w:hint="default" w:ascii="Times New Roman" w:hAnsi="Times New Roman" w:cs="Times New Roman"/>
          <w:color w:val="auto"/>
          <w:lang w:val="zh-TW" w:eastAsia="zh-CN"/>
        </w:rPr>
        <w:t>0分。</w:t>
      </w:r>
    </w:p>
    <w:p w14:paraId="5938833A">
      <w:pPr>
        <w:spacing w:line="360" w:lineRule="auto"/>
        <w:ind w:firstLine="422"/>
        <w:rPr>
          <w:rFonts w:hint="default" w:ascii="Times New Roman" w:hAnsi="Times New Roman" w:cs="Times New Roman" w:eastAsiaTheme="minorEastAsia"/>
          <w:b/>
          <w:bCs/>
          <w:color w:val="auto"/>
        </w:rPr>
      </w:pPr>
      <w:r>
        <w:rPr>
          <w:rFonts w:hint="default" w:ascii="Times New Roman" w:hAnsi="Times New Roman" w:cs="Times New Roman" w:eastAsiaTheme="minorEastAsia"/>
          <w:b/>
          <w:bCs/>
          <w:color w:val="auto"/>
        </w:rPr>
        <w:t>（4）B21管理制度健全性指标：</w:t>
      </w:r>
    </w:p>
    <w:p w14:paraId="24AE3957">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lang w:val="zh-TW" w:eastAsia="zh-CN"/>
        </w:rPr>
      </w:pPr>
      <w:r>
        <w:rPr>
          <w:rFonts w:hint="default" w:ascii="Times New Roman" w:hAnsi="Times New Roman" w:cs="Times New Roman"/>
          <w:color w:val="auto"/>
          <w:lang w:val="zh-TW" w:eastAsia="zh-CN"/>
        </w:rPr>
        <w:t>经</w:t>
      </w:r>
      <w:r>
        <w:rPr>
          <w:rFonts w:hint="eastAsia" w:cs="Times New Roman"/>
          <w:color w:val="auto"/>
          <w:lang w:val="en-US" w:eastAsia="zh-CN"/>
        </w:rPr>
        <w:t>查阅项目资料</w:t>
      </w:r>
      <w:r>
        <w:rPr>
          <w:rFonts w:hint="default" w:ascii="Times New Roman" w:hAnsi="Times New Roman" w:cs="Times New Roman"/>
          <w:color w:val="auto"/>
          <w:lang w:val="zh-TW" w:eastAsia="zh-CN"/>
        </w:rPr>
        <w:t>，</w:t>
      </w:r>
      <w:r>
        <w:rPr>
          <w:rFonts w:hint="eastAsia" w:cs="Times New Roman"/>
          <w:color w:val="auto"/>
          <w:lang w:val="en-US" w:eastAsia="zh-CN"/>
        </w:rPr>
        <w:t>伊宁县民政局</w:t>
      </w:r>
      <w:r>
        <w:rPr>
          <w:rFonts w:hint="default" w:ascii="Times New Roman" w:hAnsi="Times New Roman" w:cs="Times New Roman"/>
          <w:color w:val="auto"/>
          <w:lang w:val="zh-TW" w:eastAsia="zh-CN"/>
        </w:rPr>
        <w:t>已</w:t>
      </w:r>
      <w:r>
        <w:rPr>
          <w:rFonts w:hint="eastAsia" w:cs="Times New Roman"/>
          <w:color w:val="auto"/>
          <w:lang w:val="en-US" w:eastAsia="zh-CN"/>
        </w:rPr>
        <w:t>制定</w:t>
      </w:r>
      <w:r>
        <w:rPr>
          <w:rFonts w:hint="default" w:ascii="Times New Roman" w:hAnsi="Times New Roman" w:cs="Times New Roman"/>
          <w:color w:val="auto"/>
          <w:lang w:val="zh-TW" w:eastAsia="zh-CN"/>
        </w:rPr>
        <w:t>《</w:t>
      </w:r>
      <w:r>
        <w:rPr>
          <w:rFonts w:hint="eastAsia" w:cs="Times New Roman"/>
          <w:color w:val="auto"/>
          <w:lang w:val="en-US" w:eastAsia="zh-CN"/>
        </w:rPr>
        <w:t>伊宁县民政局预算绩效管理制度</w:t>
      </w:r>
      <w:r>
        <w:rPr>
          <w:rFonts w:hint="default" w:ascii="Times New Roman" w:hAnsi="Times New Roman" w:cs="Times New Roman"/>
          <w:color w:val="auto"/>
          <w:lang w:val="zh-TW" w:eastAsia="zh-CN"/>
        </w:rPr>
        <w:t>》《</w:t>
      </w:r>
      <w:r>
        <w:rPr>
          <w:rFonts w:hint="eastAsia" w:cs="Times New Roman"/>
          <w:color w:val="auto"/>
          <w:lang w:val="en-US" w:eastAsia="zh-CN"/>
        </w:rPr>
        <w:t>伊宁县民政局内部控制制度</w:t>
      </w:r>
      <w:r>
        <w:rPr>
          <w:rFonts w:hint="default" w:ascii="Times New Roman" w:hAnsi="Times New Roman" w:cs="Times New Roman"/>
          <w:color w:val="auto"/>
          <w:lang w:val="zh-TW" w:eastAsia="zh-CN"/>
        </w:rPr>
        <w:t>》《</w:t>
      </w:r>
      <w:r>
        <w:rPr>
          <w:rFonts w:hint="eastAsia" w:cs="Times New Roman"/>
          <w:color w:val="auto"/>
          <w:lang w:val="en-US" w:eastAsia="zh-CN"/>
        </w:rPr>
        <w:t>伊宁县民政局“三重一大”制度</w:t>
      </w:r>
      <w:r>
        <w:rPr>
          <w:rFonts w:hint="default" w:ascii="Times New Roman" w:hAnsi="Times New Roman" w:cs="Times New Roman"/>
          <w:color w:val="auto"/>
          <w:lang w:val="zh-TW" w:eastAsia="zh-CN"/>
        </w:rPr>
        <w:t>》</w:t>
      </w:r>
      <w:r>
        <w:rPr>
          <w:rFonts w:hint="eastAsia" w:cs="Times New Roman"/>
          <w:color w:val="auto"/>
          <w:lang w:val="zh-TW" w:eastAsia="zh-CN"/>
        </w:rPr>
        <w:t>《</w:t>
      </w:r>
      <w:r>
        <w:rPr>
          <w:rFonts w:hint="eastAsia" w:cs="Times New Roman"/>
          <w:color w:val="auto"/>
          <w:lang w:val="en-US" w:eastAsia="zh-CN"/>
        </w:rPr>
        <w:t>伊宁县民政局财务管理制度</w:t>
      </w:r>
      <w:r>
        <w:rPr>
          <w:rFonts w:hint="eastAsia" w:cs="Times New Roman"/>
          <w:color w:val="auto"/>
          <w:lang w:val="zh-TW" w:eastAsia="zh-CN"/>
        </w:rPr>
        <w:t>》</w:t>
      </w:r>
      <w:r>
        <w:rPr>
          <w:rFonts w:hint="default" w:ascii="Times New Roman" w:hAnsi="Times New Roman" w:cs="Times New Roman"/>
          <w:color w:val="auto"/>
          <w:lang w:val="zh-TW" w:eastAsia="zh-CN"/>
        </w:rPr>
        <w:t>等，</w:t>
      </w:r>
      <w:r>
        <w:rPr>
          <w:rFonts w:hint="eastAsia" w:cs="Times New Roman"/>
          <w:color w:val="auto"/>
          <w:lang w:val="en-US" w:eastAsia="zh-CN"/>
        </w:rPr>
        <w:t>上述已建立的财务和业务管理制度涵盖项目内控管理内容</w:t>
      </w:r>
      <w:r>
        <w:rPr>
          <w:rFonts w:hint="default" w:ascii="Times New Roman" w:hAnsi="Times New Roman" w:cs="Times New Roman"/>
          <w:color w:val="auto"/>
          <w:lang w:val="zh-TW" w:eastAsia="zh-CN"/>
        </w:rPr>
        <w:t>，</w:t>
      </w:r>
      <w:r>
        <w:rPr>
          <w:rFonts w:hint="eastAsia" w:cs="Times New Roman"/>
          <w:color w:val="auto"/>
          <w:lang w:val="en-US" w:eastAsia="zh-CN"/>
        </w:rPr>
        <w:t>管理制度基本健全</w:t>
      </w:r>
      <w:r>
        <w:rPr>
          <w:rFonts w:hint="default" w:ascii="Times New Roman" w:hAnsi="Times New Roman" w:cs="Times New Roman"/>
          <w:color w:val="auto"/>
          <w:lang w:val="zh-TW" w:eastAsia="zh-CN"/>
        </w:rPr>
        <w:t>。</w:t>
      </w:r>
    </w:p>
    <w:p w14:paraId="1D67D420">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lang w:val="zh-TW" w:eastAsia="zh-CN"/>
        </w:rPr>
      </w:pPr>
      <w:r>
        <w:rPr>
          <w:rFonts w:hint="default" w:ascii="Times New Roman" w:hAnsi="Times New Roman" w:cs="Times New Roman"/>
          <w:color w:val="auto"/>
          <w:lang w:val="zh-TW" w:eastAsia="zh-CN"/>
        </w:rPr>
        <w:t>该指标满分为4.00分，根据评分标准得4.00分。</w:t>
      </w:r>
    </w:p>
    <w:p w14:paraId="18104AA0">
      <w:pPr>
        <w:pageBreakBefore w:val="0"/>
        <w:kinsoku/>
        <w:wordWrap/>
        <w:overflowPunct/>
        <w:topLinePunct w:val="0"/>
        <w:autoSpaceDE/>
        <w:autoSpaceDN/>
        <w:bidi w:val="0"/>
        <w:snapToGrid w:val="0"/>
        <w:spacing w:line="360" w:lineRule="auto"/>
        <w:ind w:firstLine="422"/>
        <w:rPr>
          <w:rFonts w:hint="default" w:ascii="Times New Roman" w:hAnsi="Times New Roman" w:cs="Times New Roman"/>
          <w:color w:val="auto"/>
        </w:rPr>
      </w:pPr>
      <w:r>
        <w:rPr>
          <w:rFonts w:hint="default" w:ascii="Times New Roman" w:hAnsi="Times New Roman" w:cs="Times New Roman"/>
          <w:b/>
          <w:bCs/>
          <w:color w:val="auto"/>
        </w:rPr>
        <w:t>（5）B22制度执行有效性指标：</w:t>
      </w:r>
    </w:p>
    <w:p w14:paraId="5FE6EC88">
      <w:pPr>
        <w:pageBreakBefore w:val="0"/>
        <w:kinsoku/>
        <w:wordWrap/>
        <w:overflowPunct/>
        <w:topLinePunct w:val="0"/>
        <w:autoSpaceDE/>
        <w:autoSpaceDN/>
        <w:bidi w:val="0"/>
        <w:snapToGrid w:val="0"/>
        <w:spacing w:line="360" w:lineRule="auto"/>
        <w:ind w:firstLine="420"/>
        <w:rPr>
          <w:rFonts w:hint="eastAsia"/>
          <w:lang w:val="en-US" w:eastAsia="zh-CN"/>
        </w:rPr>
      </w:pPr>
      <w:r>
        <w:rPr>
          <w:rFonts w:hint="default" w:ascii="Times New Roman" w:hAnsi="Times New Roman" w:cs="Times New Roman"/>
          <w:color w:val="auto"/>
          <w:lang w:val="zh-TW" w:eastAsia="zh-CN"/>
        </w:rPr>
        <w:t>通过查阅项目实施过程资料，该项目按照《“福彩圆梦·孤儿助学工程”项目实施暂行办法》（民办发〔2019〕24号）</w:t>
      </w:r>
      <w:r>
        <w:rPr>
          <w:rFonts w:hint="eastAsia" w:cs="Times New Roman"/>
          <w:color w:val="auto"/>
          <w:lang w:val="zh-TW" w:eastAsia="zh-CN"/>
        </w:rPr>
        <w:t>、</w:t>
      </w:r>
      <w:r>
        <w:rPr>
          <w:rFonts w:hint="default" w:ascii="Times New Roman" w:hAnsi="Times New Roman" w:cs="Times New Roman"/>
          <w:color w:val="auto"/>
          <w:lang w:val="zh-TW" w:eastAsia="zh-CN"/>
        </w:rPr>
        <w:t>《民政部彩票公益金使用管理办法》《伊宁县民政局财务管理规定》等要求，对孤儿的认定、申请、考核、发放助学金等工作进行管理。</w:t>
      </w:r>
      <w:r>
        <w:rPr>
          <w:rFonts w:hint="eastAsia"/>
          <w:lang w:val="en-US" w:eastAsia="zh-CN"/>
        </w:rPr>
        <w:t>经查看项目资料，发现问题如下：</w:t>
      </w:r>
    </w:p>
    <w:p w14:paraId="11BB1841">
      <w:pPr>
        <w:pageBreakBefore w:val="0"/>
        <w:kinsoku/>
        <w:wordWrap/>
        <w:overflowPunct/>
        <w:topLinePunct w:val="0"/>
        <w:autoSpaceDE/>
        <w:autoSpaceDN/>
        <w:bidi w:val="0"/>
        <w:snapToGrid w:val="0"/>
        <w:spacing w:line="360" w:lineRule="auto"/>
        <w:ind w:firstLine="420"/>
        <w:rPr>
          <w:rFonts w:hint="eastAsia" w:cs="Times New Roman"/>
          <w:color w:val="auto"/>
          <w:lang w:val="en-US" w:eastAsia="zh-CN"/>
        </w:rPr>
      </w:pPr>
      <w:r>
        <w:rPr>
          <w:rFonts w:hint="eastAsia"/>
          <w:lang w:val="en-US" w:eastAsia="zh-CN"/>
        </w:rPr>
        <w:t>①</w:t>
      </w:r>
      <w:r>
        <w:rPr>
          <w:rFonts w:hint="eastAsia" w:cs="Times New Roman"/>
          <w:color w:val="auto"/>
          <w:lang w:val="en-US" w:eastAsia="zh-CN"/>
        </w:rPr>
        <w:t>按照</w:t>
      </w:r>
      <w:r>
        <w:rPr>
          <w:rFonts w:hint="default" w:ascii="Times New Roman" w:hAnsi="Times New Roman" w:cs="Times New Roman"/>
          <w:color w:val="auto"/>
          <w:lang w:val="zh-TW" w:eastAsia="zh-CN"/>
        </w:rPr>
        <w:t>《“福彩圆梦·孤儿助学工程”项目实施暂行办法》（民办发〔2019〕24号）规定</w:t>
      </w:r>
      <w:r>
        <w:rPr>
          <w:rFonts w:hint="eastAsia" w:ascii="Times New Roman" w:hAnsi="Times New Roman" w:cs="Times New Roman"/>
          <w:color w:val="auto"/>
          <w:lang w:val="en-US" w:eastAsia="zh-CN"/>
        </w:rPr>
        <w:t>中“资助对象范围是已被认定为孤儿身份、年满18周岁后在普通全日制本科学校、普通全日制专科学校、高等职业学校等高等院校及中等职业学校就读的中专、大专、本科学生和硕士研究生。</w:t>
      </w:r>
      <w:r>
        <w:rPr>
          <w:rFonts w:hint="eastAsia" w:cs="Times New Roman"/>
          <w:color w:val="auto"/>
          <w:lang w:val="en-US" w:eastAsia="zh-CN"/>
        </w:rPr>
        <w:t>”</w:t>
      </w:r>
    </w:p>
    <w:p w14:paraId="19D148C3">
      <w:pPr>
        <w:pageBreakBefore w:val="0"/>
        <w:kinsoku/>
        <w:wordWrap/>
        <w:overflowPunct/>
        <w:topLinePunct w:val="0"/>
        <w:autoSpaceDE/>
        <w:autoSpaceDN/>
        <w:bidi w:val="0"/>
        <w:snapToGrid w:val="0"/>
        <w:spacing w:line="360" w:lineRule="auto"/>
        <w:ind w:firstLine="420"/>
        <w:rPr>
          <w:rFonts w:hint="eastAsia"/>
          <w:lang w:val="en-US" w:eastAsia="zh-CN"/>
        </w:rPr>
      </w:pPr>
      <w:r>
        <w:rPr>
          <w:rFonts w:hint="eastAsia"/>
          <w:lang w:val="en-US" w:eastAsia="zh-CN"/>
        </w:rPr>
        <w:t>存在未按政策补助范围发放补助的情况，</w:t>
      </w:r>
      <w:r>
        <w:rPr>
          <w:rFonts w:hint="default" w:ascii="Times New Roman" w:hAnsi="Times New Roman" w:eastAsia="宋体" w:cs="Times New Roman"/>
          <w:i w:val="0"/>
          <w:iCs w:val="0"/>
          <w:color w:val="auto"/>
          <w:kern w:val="0"/>
          <w:sz w:val="21"/>
          <w:szCs w:val="21"/>
          <w:u w:val="none"/>
          <w:lang w:val="en-US" w:eastAsia="zh-CN" w:bidi="ar"/>
        </w:rPr>
        <w:t>苏尼艳·阿力木江2023年9月</w:t>
      </w:r>
      <w:r>
        <w:rPr>
          <w:rFonts w:hint="eastAsia" w:eastAsia="宋体" w:cs="Times New Roman"/>
          <w:i w:val="0"/>
          <w:iCs w:val="0"/>
          <w:color w:val="auto"/>
          <w:kern w:val="0"/>
          <w:sz w:val="21"/>
          <w:szCs w:val="21"/>
          <w:u w:val="none"/>
          <w:lang w:val="en-US" w:eastAsia="zh-CN" w:bidi="ar"/>
        </w:rPr>
        <w:t>就读</w:t>
      </w:r>
      <w:r>
        <w:rPr>
          <w:rFonts w:hint="default" w:ascii="Times New Roman" w:hAnsi="Times New Roman" w:eastAsia="宋体" w:cs="Times New Roman"/>
          <w:i w:val="0"/>
          <w:iCs w:val="0"/>
          <w:color w:val="auto"/>
          <w:kern w:val="0"/>
          <w:sz w:val="21"/>
          <w:szCs w:val="21"/>
          <w:u w:val="none"/>
          <w:lang w:val="en-US" w:eastAsia="zh-CN" w:bidi="ar"/>
        </w:rPr>
        <w:t>石河子中山中等职业技术学校</w:t>
      </w:r>
      <w:r>
        <w:rPr>
          <w:rFonts w:hint="eastAsia" w:eastAsia="宋体" w:cs="Times New Roman"/>
          <w:i w:val="0"/>
          <w:iCs w:val="0"/>
          <w:color w:val="auto"/>
          <w:kern w:val="0"/>
          <w:sz w:val="21"/>
          <w:szCs w:val="21"/>
          <w:u w:val="none"/>
          <w:lang w:val="en-US" w:eastAsia="zh-CN" w:bidi="ar"/>
        </w:rPr>
        <w:t>，2024年该名孤儿17周岁，</w:t>
      </w:r>
      <w:r>
        <w:rPr>
          <w:rFonts w:hint="eastAsia"/>
          <w:lang w:val="en-US" w:eastAsia="zh-CN"/>
        </w:rPr>
        <w:t>与政策的补助年龄范围不符。根据《自查报告》可知：经请示自治区民政厅儿童福利司相关领导后，伊宁县孤儿院自查该儿童目前是孤儿身份、但未满18周岁且就读于中专，伊宁县孤儿院自查后将停发该儿童2024年第三、第四季度及2025年的福彩圆梦助学金。</w:t>
      </w:r>
      <w:r>
        <w:rPr>
          <w:rFonts w:hint="eastAsia" w:cs="Times New Roman"/>
          <w:color w:val="auto"/>
          <w:lang w:val="en-US" w:eastAsia="zh-CN"/>
        </w:rPr>
        <w:t>按</w:t>
      </w:r>
      <w:r>
        <w:rPr>
          <w:rFonts w:hint="default" w:ascii="Times New Roman" w:hAnsi="Times New Roman" w:cs="Times New Roman"/>
          <w:color w:val="auto"/>
          <w:lang w:val="zh-TW" w:eastAsia="zh-CN"/>
        </w:rPr>
        <w:t>评分标准</w:t>
      </w:r>
      <w:r>
        <w:rPr>
          <w:rFonts w:hint="eastAsia" w:cs="Times New Roman"/>
          <w:color w:val="auto"/>
          <w:lang w:val="zh-TW" w:eastAsia="zh-CN"/>
        </w:rPr>
        <w:t>，</w:t>
      </w:r>
      <w:r>
        <w:rPr>
          <w:rFonts w:hint="eastAsia" w:cs="Times New Roman"/>
          <w:color w:val="auto"/>
          <w:lang w:val="en-US" w:eastAsia="zh-CN"/>
        </w:rPr>
        <w:t>扣1.00分。</w:t>
      </w:r>
    </w:p>
    <w:p w14:paraId="5127C86E">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lang w:val="zh-TW" w:eastAsia="zh-CN"/>
        </w:rPr>
      </w:pPr>
      <w:r>
        <w:rPr>
          <w:rFonts w:hint="eastAsia"/>
          <w:lang w:val="en-US" w:eastAsia="zh-CN"/>
        </w:rPr>
        <w:t>②经查看项目实施单位提供的《2024年度“福彩·圆梦”助学金发放公示》资料，未体现具体的公示地点、公示形式以及公示的时间段</w:t>
      </w:r>
      <w:r>
        <w:rPr>
          <w:rFonts w:hint="default" w:ascii="Times New Roman" w:hAnsi="Times New Roman" w:cs="Times New Roman"/>
          <w:color w:val="auto"/>
          <w:lang w:val="zh-TW" w:eastAsia="zh-CN"/>
        </w:rPr>
        <w:t>。</w:t>
      </w:r>
      <w:r>
        <w:rPr>
          <w:rFonts w:hint="default" w:ascii="Times New Roman" w:hAnsi="Times New Roman" w:cs="Times New Roman"/>
          <w:color w:val="auto"/>
          <w:lang w:val="en-US" w:eastAsia="zh-CN"/>
        </w:rPr>
        <w:t>经查看</w:t>
      </w:r>
      <w:r>
        <w:rPr>
          <w:rFonts w:hint="default" w:ascii="Times New Roman" w:hAnsi="Times New Roman" w:cs="Times New Roman"/>
          <w:color w:val="auto"/>
          <w:lang w:val="zh-TW" w:eastAsia="zh-CN"/>
        </w:rPr>
        <w:t>伊宁县人民政府网站</w:t>
      </w:r>
      <w:r>
        <w:rPr>
          <w:rFonts w:hint="eastAsia" w:cs="Times New Roman"/>
          <w:color w:val="auto"/>
          <w:lang w:val="zh-TW" w:eastAsia="zh-CN"/>
        </w:rPr>
        <w:t>，</w:t>
      </w:r>
      <w:r>
        <w:rPr>
          <w:rFonts w:hint="default" w:ascii="Times New Roman" w:hAnsi="Times New Roman" w:cs="Times New Roman"/>
          <w:color w:val="auto"/>
          <w:lang w:val="en-US" w:eastAsia="zh-CN"/>
        </w:rPr>
        <w:t>未查询到</w:t>
      </w:r>
      <w:r>
        <w:rPr>
          <w:rFonts w:hint="eastAsia" w:cs="Times New Roman"/>
          <w:color w:val="auto"/>
          <w:lang w:val="en-US" w:eastAsia="zh-CN"/>
        </w:rPr>
        <w:t>项目实施单位根据《中央专项彩票公益金支持地方社会公益事业发展资金管理办法》（财综〔2022〕43号）文件要求 “项目主管部门应当于每年6月底前，向社会公告上年度具体项目的资金规模、支出内容、执行情况和实际效果等，接受社会监督。”对补助资金使用情况及时宣传公告。按</w:t>
      </w:r>
      <w:r>
        <w:rPr>
          <w:rFonts w:hint="default" w:ascii="Times New Roman" w:hAnsi="Times New Roman" w:cs="Times New Roman"/>
          <w:color w:val="auto"/>
          <w:lang w:val="zh-TW" w:eastAsia="zh-CN"/>
        </w:rPr>
        <w:t>评分标准</w:t>
      </w:r>
      <w:r>
        <w:rPr>
          <w:rFonts w:hint="eastAsia" w:cs="Times New Roman"/>
          <w:color w:val="auto"/>
          <w:lang w:val="zh-TW" w:eastAsia="zh-CN"/>
        </w:rPr>
        <w:t>，</w:t>
      </w:r>
      <w:r>
        <w:rPr>
          <w:rFonts w:hint="eastAsia" w:cs="Times New Roman"/>
          <w:color w:val="auto"/>
          <w:lang w:val="en-US" w:eastAsia="zh-CN"/>
        </w:rPr>
        <w:t>扣1.00分。</w:t>
      </w:r>
    </w:p>
    <w:p w14:paraId="6201FA31">
      <w:pPr>
        <w:pageBreakBefore w:val="0"/>
        <w:kinsoku/>
        <w:wordWrap/>
        <w:overflowPunct/>
        <w:topLinePunct w:val="0"/>
        <w:autoSpaceDE/>
        <w:autoSpaceDN/>
        <w:bidi w:val="0"/>
        <w:snapToGrid w:val="0"/>
        <w:spacing w:line="360" w:lineRule="auto"/>
        <w:ind w:firstLine="420"/>
        <w:rPr>
          <w:rFonts w:hint="eastAsia" w:asciiTheme="minorEastAsia" w:hAnsiTheme="minorEastAsia" w:cstheme="minorEastAsia"/>
          <w:color w:val="auto"/>
          <w:lang w:val="en-US" w:eastAsia="zh-CN"/>
        </w:rPr>
      </w:pPr>
      <w:r>
        <w:rPr>
          <w:rFonts w:hint="eastAsia" w:asciiTheme="minorEastAsia" w:hAnsiTheme="minorEastAsia" w:cstheme="minorEastAsia"/>
          <w:color w:val="auto"/>
          <w:lang w:val="en-US" w:eastAsia="zh-CN"/>
        </w:rPr>
        <w:t>③该项目采用动态管理机制，通过全国儿童福利信息系统对全县孤儿信息进行登记，对孤儿的儿童基本情况、家庭/监护人情况、机构养育情况、福利保障情况等进行登记，系统由伊宁县孤儿院将孤儿信息录入系统，并定期对孤儿信息进行维护、更新，伊宁县民政局对孤儿录入信息进行审核。</w:t>
      </w:r>
    </w:p>
    <w:p w14:paraId="67CC45E5">
      <w:pPr>
        <w:pageBreakBefore w:val="0"/>
        <w:kinsoku/>
        <w:wordWrap/>
        <w:overflowPunct/>
        <w:topLinePunct w:val="0"/>
        <w:autoSpaceDE/>
        <w:autoSpaceDN/>
        <w:bidi w:val="0"/>
        <w:snapToGrid w:val="0"/>
        <w:spacing w:line="360" w:lineRule="auto"/>
        <w:ind w:firstLine="420"/>
        <w:rPr>
          <w:rFonts w:hint="eastAsia" w:ascii="Times New Roman" w:hAnsi="Times New Roman" w:cs="Times New Roman"/>
          <w:color w:val="auto"/>
          <w:lang w:val="en-US" w:eastAsia="zh-CN"/>
        </w:rPr>
      </w:pPr>
      <w:r>
        <w:rPr>
          <w:rFonts w:hint="eastAsia" w:asciiTheme="minorEastAsia" w:hAnsiTheme="minorEastAsia" w:cstheme="minorEastAsia"/>
          <w:color w:val="auto"/>
          <w:lang w:val="en-US" w:eastAsia="zh-CN"/>
        </w:rPr>
        <w:t>经项目组核查全</w:t>
      </w:r>
      <w:r>
        <w:rPr>
          <w:rFonts w:hint="eastAsia" w:ascii="Times New Roman" w:hAnsi="Times New Roman" w:cs="Times New Roman"/>
          <w:color w:val="auto"/>
          <w:lang w:val="en-US" w:eastAsia="zh-CN"/>
        </w:rPr>
        <w:t>国儿童福利信息系统，该项目中涉及的24名儿童均在该系统内，项目组对该项目线下资料核查时发现，存在当年毕业的7名孤儿录取通知保管不到位已遗失，项目组通过查询学校毕业证可知，7名孤儿符合政策补助条件，因孤儿院档案管理不到位导致线下档案遗失。按评分标准，扣3.50分。</w:t>
      </w:r>
    </w:p>
    <w:p w14:paraId="1232AD4B">
      <w:pPr>
        <w:pageBreakBefore w:val="0"/>
        <w:kinsoku/>
        <w:wordWrap/>
        <w:overflowPunct/>
        <w:topLinePunct w:val="0"/>
        <w:autoSpaceDE/>
        <w:autoSpaceDN/>
        <w:bidi w:val="0"/>
        <w:snapToGrid w:val="0"/>
        <w:spacing w:line="360" w:lineRule="auto"/>
        <w:ind w:firstLine="420"/>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该指标满分为8.00分，根据评分标准得2.50分。</w:t>
      </w:r>
    </w:p>
    <w:p w14:paraId="6D714145">
      <w:pPr>
        <w:pStyle w:val="5"/>
        <w:pageBreakBefore w:val="0"/>
        <w:kinsoku/>
        <w:wordWrap/>
        <w:overflowPunct/>
        <w:topLinePunct w:val="0"/>
        <w:autoSpaceDE/>
        <w:autoSpaceDN/>
        <w:bidi w:val="0"/>
        <w:snapToGrid w:val="0"/>
        <w:spacing w:line="360" w:lineRule="auto"/>
        <w:ind w:firstLine="482"/>
        <w:rPr>
          <w:rFonts w:hint="default" w:ascii="Times New Roman" w:hAnsi="Times New Roman" w:cs="Times New Roman"/>
          <w:color w:val="auto"/>
        </w:rPr>
      </w:pPr>
      <w:bookmarkStart w:id="74" w:name="_Toc25668"/>
      <w:r>
        <w:rPr>
          <w:rFonts w:hint="default" w:ascii="Times New Roman" w:hAnsi="Times New Roman" w:cs="Times New Roman"/>
          <w:color w:val="auto"/>
        </w:rPr>
        <w:t>（三）项目产出情况</w:t>
      </w:r>
      <w:bookmarkEnd w:id="74"/>
    </w:p>
    <w:p w14:paraId="0994991B">
      <w:pPr>
        <w:pageBreakBefore w:val="0"/>
        <w:kinsoku/>
        <w:wordWrap/>
        <w:overflowPunct/>
        <w:topLinePunct w:val="0"/>
        <w:autoSpaceDE/>
        <w:autoSpaceDN/>
        <w:bidi w:val="0"/>
        <w:snapToGrid w:val="0"/>
        <w:spacing w:line="360" w:lineRule="auto"/>
        <w:ind w:firstLine="420"/>
        <w:jc w:val="left"/>
        <w:rPr>
          <w:rFonts w:hint="default" w:ascii="Times New Roman" w:hAnsi="Times New Roman" w:cs="Times New Roman"/>
          <w:color w:val="auto"/>
        </w:rPr>
      </w:pPr>
      <w:r>
        <w:rPr>
          <w:rFonts w:hint="default" w:ascii="Times New Roman" w:hAnsi="Times New Roman" w:cs="Times New Roman"/>
          <w:color w:val="auto"/>
        </w:rPr>
        <w:t>项目产出指标由4个二级和4个三级指标构成，权重分值30.00分，实际得分</w:t>
      </w:r>
      <w:r>
        <w:rPr>
          <w:rFonts w:hint="default" w:cs="Times New Roman" w:eastAsiaTheme="minorEastAsia"/>
          <w:b w:val="0"/>
          <w:bCs w:val="0"/>
          <w:color w:val="auto"/>
          <w:kern w:val="2"/>
          <w:lang w:val="en-US" w:eastAsia="zh-CN" w:bidi="ar"/>
        </w:rPr>
        <w:t>24.37</w:t>
      </w:r>
      <w:r>
        <w:rPr>
          <w:rFonts w:hint="default" w:ascii="Times New Roman" w:hAnsi="Times New Roman" w:cs="Times New Roman"/>
          <w:color w:val="auto"/>
        </w:rPr>
        <w:t>分，得分率为</w:t>
      </w:r>
      <w:r>
        <w:rPr>
          <w:rFonts w:hint="default" w:cs="Times New Roman" w:eastAsiaTheme="minorEastAsia"/>
          <w:b w:val="0"/>
          <w:bCs w:val="0"/>
          <w:color w:val="auto"/>
          <w:kern w:val="2"/>
          <w:lang w:val="en-US" w:eastAsia="zh-CN" w:bidi="ar"/>
        </w:rPr>
        <w:t>81.2</w:t>
      </w:r>
      <w:r>
        <w:rPr>
          <w:rFonts w:hint="default" w:ascii="Times New Roman" w:hAnsi="Times New Roman" w:cs="Times New Roman" w:eastAsiaTheme="minorEastAsia"/>
          <w:b w:val="0"/>
          <w:bCs w:val="0"/>
          <w:color w:val="auto"/>
          <w:kern w:val="2"/>
          <w:lang w:val="en-US" w:eastAsia="zh-CN" w:bidi="ar"/>
        </w:rPr>
        <w:t>3</w:t>
      </w:r>
      <w:r>
        <w:rPr>
          <w:rFonts w:hint="default" w:ascii="Times New Roman" w:hAnsi="Times New Roman" w:cs="Times New Roman" w:eastAsiaTheme="minorEastAsia"/>
          <w:b w:val="0"/>
          <w:bCs w:val="0"/>
          <w:color w:val="auto"/>
          <w:kern w:val="2"/>
          <w:lang w:bidi="ar"/>
        </w:rPr>
        <w:t>%</w:t>
      </w:r>
      <w:r>
        <w:rPr>
          <w:rFonts w:hint="default" w:ascii="Times New Roman" w:hAnsi="Times New Roman" w:cs="Times New Roman"/>
          <w:color w:val="auto"/>
        </w:rPr>
        <w:t>。各指标业绩值和绩效分值如下表所示：</w:t>
      </w:r>
    </w:p>
    <w:p w14:paraId="49BCE1EF">
      <w:pPr>
        <w:pageBreakBefore w:val="0"/>
        <w:kinsoku/>
        <w:wordWrap/>
        <w:overflowPunct/>
        <w:topLinePunct w:val="0"/>
        <w:autoSpaceDE/>
        <w:autoSpaceDN/>
        <w:bidi w:val="0"/>
        <w:snapToGrid w:val="0"/>
        <w:spacing w:line="360" w:lineRule="auto"/>
        <w:ind w:firstLine="0" w:firstLineChars="0"/>
        <w:jc w:val="center"/>
        <w:rPr>
          <w:rFonts w:hint="default" w:ascii="Times New Roman" w:hAnsi="Times New Roman" w:cs="Times New Roman" w:eastAsiaTheme="minorEastAsia"/>
          <w:b/>
          <w:bCs/>
          <w:color w:val="auto"/>
          <w:szCs w:val="16"/>
        </w:rPr>
      </w:pPr>
      <w:r>
        <w:rPr>
          <w:rFonts w:hint="default" w:ascii="Times New Roman" w:hAnsi="Times New Roman" w:cs="Times New Roman"/>
          <w:b/>
          <w:bCs/>
          <w:color w:val="auto"/>
          <w:szCs w:val="16"/>
        </w:rPr>
        <w:t>表</w:t>
      </w:r>
      <w:r>
        <w:rPr>
          <w:rFonts w:hint="default" w:ascii="Times New Roman" w:hAnsi="Times New Roman" w:cs="Times New Roman"/>
          <w:b/>
          <w:bCs/>
          <w:color w:val="auto"/>
          <w:szCs w:val="16"/>
          <w:lang w:val="en-US" w:eastAsia="zh-CN"/>
        </w:rPr>
        <w:t>5</w:t>
      </w:r>
      <w:r>
        <w:rPr>
          <w:rFonts w:hint="default" w:ascii="Times New Roman" w:hAnsi="Times New Roman" w:cs="Times New Roman"/>
          <w:b/>
          <w:bCs/>
          <w:color w:val="auto"/>
          <w:szCs w:val="16"/>
        </w:rPr>
        <w:t>-3：项目产出指标及分值</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
      <w:tblGrid>
        <w:gridCol w:w="1001"/>
        <w:gridCol w:w="1139"/>
        <w:gridCol w:w="2062"/>
        <w:gridCol w:w="877"/>
        <w:gridCol w:w="898"/>
        <w:gridCol w:w="700"/>
        <w:gridCol w:w="750"/>
        <w:gridCol w:w="981"/>
      </w:tblGrid>
      <w:tr w14:paraId="3C56C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blHeader/>
          <w:jc w:val="center"/>
        </w:trPr>
        <w:tc>
          <w:tcPr>
            <w:tcW w:w="595" w:type="pct"/>
            <w:vAlign w:val="center"/>
          </w:tcPr>
          <w:p w14:paraId="486E6C8E">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rPr>
            </w:pPr>
            <w:r>
              <w:rPr>
                <w:rFonts w:hint="default" w:ascii="Times New Roman" w:hAnsi="Times New Roman" w:eastAsia="宋体" w:cs="Times New Roman"/>
                <w:b/>
                <w:color w:val="auto"/>
                <w:kern w:val="0"/>
                <w:sz w:val="21"/>
                <w:szCs w:val="21"/>
                <w:lang w:bidi="ar"/>
              </w:rPr>
              <w:t>一级指标</w:t>
            </w:r>
          </w:p>
        </w:tc>
        <w:tc>
          <w:tcPr>
            <w:tcW w:w="677" w:type="pct"/>
            <w:vAlign w:val="center"/>
          </w:tcPr>
          <w:p w14:paraId="0C0916B6">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rPr>
            </w:pPr>
            <w:r>
              <w:rPr>
                <w:rFonts w:hint="default" w:ascii="Times New Roman" w:hAnsi="Times New Roman" w:eastAsia="宋体" w:cs="Times New Roman"/>
                <w:b/>
                <w:color w:val="auto"/>
                <w:kern w:val="0"/>
                <w:sz w:val="21"/>
                <w:szCs w:val="21"/>
                <w:lang w:bidi="ar"/>
              </w:rPr>
              <w:t>二级指标</w:t>
            </w:r>
          </w:p>
        </w:tc>
        <w:tc>
          <w:tcPr>
            <w:tcW w:w="1226" w:type="pct"/>
            <w:vAlign w:val="center"/>
          </w:tcPr>
          <w:p w14:paraId="029483E4">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rPr>
            </w:pPr>
            <w:r>
              <w:rPr>
                <w:rFonts w:hint="default" w:ascii="Times New Roman" w:hAnsi="Times New Roman" w:eastAsia="宋体" w:cs="Times New Roman"/>
                <w:b/>
                <w:color w:val="auto"/>
                <w:kern w:val="0"/>
                <w:sz w:val="21"/>
                <w:szCs w:val="21"/>
                <w:lang w:bidi="ar"/>
              </w:rPr>
              <w:t>三级指标</w:t>
            </w:r>
          </w:p>
        </w:tc>
        <w:tc>
          <w:tcPr>
            <w:tcW w:w="521" w:type="pct"/>
            <w:vAlign w:val="center"/>
          </w:tcPr>
          <w:p w14:paraId="34627EA0">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rPr>
            </w:pPr>
            <w:r>
              <w:rPr>
                <w:rFonts w:hint="default" w:ascii="Times New Roman" w:hAnsi="Times New Roman" w:eastAsia="宋体" w:cs="Times New Roman"/>
                <w:b/>
                <w:color w:val="auto"/>
                <w:kern w:val="0"/>
                <w:sz w:val="21"/>
                <w:szCs w:val="21"/>
                <w:lang w:bidi="ar"/>
              </w:rPr>
              <w:t>目标值</w:t>
            </w:r>
          </w:p>
        </w:tc>
        <w:tc>
          <w:tcPr>
            <w:tcW w:w="534" w:type="pct"/>
            <w:vAlign w:val="center"/>
          </w:tcPr>
          <w:p w14:paraId="1BC7D5F4">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kern w:val="0"/>
                <w:sz w:val="21"/>
                <w:szCs w:val="21"/>
                <w:lang w:bidi="ar"/>
              </w:rPr>
            </w:pPr>
            <w:r>
              <w:rPr>
                <w:rFonts w:hint="default" w:ascii="Times New Roman" w:hAnsi="Times New Roman" w:eastAsia="宋体" w:cs="Times New Roman"/>
                <w:b/>
                <w:color w:val="auto"/>
                <w:kern w:val="0"/>
                <w:sz w:val="21"/>
                <w:szCs w:val="21"/>
                <w:lang w:bidi="ar"/>
              </w:rPr>
              <w:t>实际完成值</w:t>
            </w:r>
          </w:p>
        </w:tc>
        <w:tc>
          <w:tcPr>
            <w:tcW w:w="416" w:type="pct"/>
            <w:vAlign w:val="center"/>
          </w:tcPr>
          <w:p w14:paraId="11DC70D7">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rPr>
            </w:pPr>
            <w:r>
              <w:rPr>
                <w:rFonts w:hint="default" w:ascii="Times New Roman" w:hAnsi="Times New Roman" w:eastAsia="宋体" w:cs="Times New Roman"/>
                <w:b/>
                <w:color w:val="auto"/>
                <w:kern w:val="0"/>
                <w:sz w:val="21"/>
                <w:szCs w:val="21"/>
                <w:lang w:bidi="ar"/>
              </w:rPr>
              <w:t>权重</w:t>
            </w:r>
          </w:p>
        </w:tc>
        <w:tc>
          <w:tcPr>
            <w:tcW w:w="446" w:type="pct"/>
            <w:vAlign w:val="center"/>
          </w:tcPr>
          <w:p w14:paraId="35E7E855">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1"/>
                <w:szCs w:val="21"/>
              </w:rPr>
            </w:pPr>
            <w:r>
              <w:rPr>
                <w:rFonts w:hint="default" w:ascii="Times New Roman" w:hAnsi="Times New Roman" w:eastAsia="宋体" w:cs="Times New Roman"/>
                <w:b/>
                <w:color w:val="auto"/>
                <w:kern w:val="0"/>
                <w:sz w:val="21"/>
                <w:szCs w:val="21"/>
                <w:lang w:bidi="ar"/>
              </w:rPr>
              <w:t>得分</w:t>
            </w:r>
          </w:p>
        </w:tc>
        <w:tc>
          <w:tcPr>
            <w:tcW w:w="583" w:type="pct"/>
            <w:vAlign w:val="center"/>
          </w:tcPr>
          <w:p w14:paraId="0DA7BC71">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kern w:val="0"/>
                <w:sz w:val="21"/>
                <w:szCs w:val="21"/>
                <w:lang w:bidi="ar"/>
              </w:rPr>
            </w:pPr>
            <w:r>
              <w:rPr>
                <w:rFonts w:hint="default" w:ascii="Times New Roman" w:hAnsi="Times New Roman" w:eastAsia="宋体" w:cs="Times New Roman"/>
                <w:b/>
                <w:color w:val="auto"/>
                <w:kern w:val="0"/>
                <w:sz w:val="21"/>
                <w:szCs w:val="21"/>
                <w:lang w:bidi="ar"/>
              </w:rPr>
              <w:t>得分率</w:t>
            </w:r>
          </w:p>
        </w:tc>
      </w:tr>
      <w:tr w14:paraId="5D83D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595" w:type="pct"/>
            <w:vMerge w:val="restart"/>
            <w:vAlign w:val="center"/>
          </w:tcPr>
          <w:p w14:paraId="240A3783">
            <w:pPr>
              <w:widowControl/>
              <w:spacing w:line="240" w:lineRule="auto"/>
              <w:ind w:firstLine="0" w:firstLineChars="0"/>
              <w:jc w:val="center"/>
              <w:rPr>
                <w:rFonts w:ascii="Times New Roman" w:hAnsi="Times New Roman" w:eastAsia="宋体" w:cs="Times New Roman"/>
                <w:color w:val="auto"/>
                <w:sz w:val="21"/>
                <w:szCs w:val="21"/>
              </w:rPr>
            </w:pPr>
            <w:r>
              <w:rPr>
                <w:rFonts w:hint="default" w:ascii="Times New Roman" w:hAnsi="Times New Roman" w:eastAsia="宋体" w:cs="Times New Roman"/>
                <w:color w:val="auto"/>
              </w:rPr>
              <w:t>C产出</w:t>
            </w:r>
            <w:r>
              <w:rPr>
                <w:rFonts w:hint="default" w:ascii="Times New Roman" w:hAnsi="Times New Roman" w:eastAsia="宋体" w:cs="Times New Roman"/>
                <w:color w:val="auto"/>
              </w:rPr>
              <w:br w:type="textWrapping"/>
            </w:r>
            <w:r>
              <w:rPr>
                <w:rFonts w:hint="default" w:ascii="Times New Roman" w:hAnsi="Times New Roman" w:eastAsia="宋体" w:cs="Times New Roman"/>
                <w:color w:val="auto"/>
              </w:rPr>
              <w:t>（30.00分）</w:t>
            </w:r>
          </w:p>
        </w:tc>
        <w:tc>
          <w:tcPr>
            <w:tcW w:w="677" w:type="pct"/>
            <w:vAlign w:val="center"/>
          </w:tcPr>
          <w:p w14:paraId="689818D9">
            <w:pPr>
              <w:widowControl/>
              <w:spacing w:line="240" w:lineRule="auto"/>
              <w:ind w:firstLine="0" w:firstLineChars="0"/>
              <w:jc w:val="left"/>
              <w:rPr>
                <w:rFonts w:ascii="Times New Roman" w:hAnsi="Times New Roman" w:eastAsia="宋体" w:cs="Times New Roman"/>
                <w:color w:val="auto"/>
                <w:sz w:val="21"/>
                <w:szCs w:val="21"/>
              </w:rPr>
            </w:pPr>
            <w:r>
              <w:rPr>
                <w:rFonts w:hint="default" w:ascii="Times New Roman" w:hAnsi="Times New Roman" w:eastAsia="宋体" w:cs="Times New Roman"/>
                <w:color w:val="auto"/>
              </w:rPr>
              <w:t>C1产出数量</w:t>
            </w:r>
          </w:p>
        </w:tc>
        <w:tc>
          <w:tcPr>
            <w:tcW w:w="1226" w:type="pct"/>
            <w:vAlign w:val="center"/>
          </w:tcPr>
          <w:p w14:paraId="20050833">
            <w:pPr>
              <w:widowControl/>
              <w:spacing w:line="240" w:lineRule="auto"/>
              <w:ind w:firstLine="0" w:firstLineChars="0"/>
              <w:jc w:val="left"/>
              <w:rPr>
                <w:rFonts w:ascii="Times New Roman" w:hAnsi="Times New Roman" w:eastAsia="宋体" w:cs="Times New Roman"/>
                <w:color w:val="auto"/>
                <w:sz w:val="21"/>
                <w:szCs w:val="21"/>
              </w:rPr>
            </w:pPr>
            <w:r>
              <w:rPr>
                <w:rFonts w:hint="default" w:ascii="Times New Roman" w:hAnsi="Times New Roman" w:eastAsia="宋体" w:cs="Times New Roman"/>
                <w:color w:val="auto"/>
              </w:rPr>
              <w:t>C11受助孤儿人数</w:t>
            </w:r>
          </w:p>
        </w:tc>
        <w:tc>
          <w:tcPr>
            <w:tcW w:w="521" w:type="pct"/>
            <w:vAlign w:val="center"/>
          </w:tcPr>
          <w:p w14:paraId="7D663A6C">
            <w:pPr>
              <w:widowControl/>
              <w:spacing w:line="240" w:lineRule="auto"/>
              <w:ind w:firstLine="0" w:firstLineChars="0"/>
              <w:jc w:val="center"/>
              <w:rPr>
                <w:rFonts w:ascii="Times New Roman" w:hAnsi="Times New Roman" w:eastAsia="宋体" w:cs="Times New Roman"/>
                <w:color w:val="auto"/>
                <w:sz w:val="21"/>
                <w:szCs w:val="21"/>
              </w:rPr>
            </w:pPr>
            <w:r>
              <w:rPr>
                <w:rFonts w:hint="default" w:ascii="Times New Roman" w:hAnsi="Times New Roman" w:eastAsia="宋体" w:cs="Times New Roman"/>
                <w:color w:val="auto"/>
                <w:lang w:val="en-US" w:eastAsia="zh-CN"/>
              </w:rPr>
              <w:t>24</w:t>
            </w:r>
            <w:r>
              <w:rPr>
                <w:rFonts w:hint="default" w:ascii="Times New Roman" w:hAnsi="Times New Roman" w:eastAsia="宋体" w:cs="Times New Roman"/>
                <w:color w:val="auto"/>
              </w:rPr>
              <w:t>人</w:t>
            </w:r>
          </w:p>
        </w:tc>
        <w:tc>
          <w:tcPr>
            <w:tcW w:w="534" w:type="pct"/>
            <w:vAlign w:val="center"/>
          </w:tcPr>
          <w:p w14:paraId="0C3076E8">
            <w:pPr>
              <w:widowControl/>
              <w:spacing w:line="240" w:lineRule="auto"/>
              <w:ind w:firstLine="0" w:firstLineChars="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lang w:val="en-US" w:eastAsia="zh-CN"/>
              </w:rPr>
              <w:t>24</w:t>
            </w:r>
            <w:r>
              <w:rPr>
                <w:rFonts w:hint="default" w:ascii="Times New Roman" w:hAnsi="Times New Roman" w:eastAsia="宋体" w:cs="Times New Roman"/>
                <w:color w:val="auto"/>
              </w:rPr>
              <w:t>人</w:t>
            </w:r>
          </w:p>
        </w:tc>
        <w:tc>
          <w:tcPr>
            <w:tcW w:w="416" w:type="pct"/>
            <w:vAlign w:val="center"/>
          </w:tcPr>
          <w:p w14:paraId="6E6DC05A">
            <w:pPr>
              <w:widowControl/>
              <w:spacing w:line="240" w:lineRule="auto"/>
              <w:ind w:firstLine="0" w:firstLineChars="0"/>
              <w:jc w:val="center"/>
              <w:rPr>
                <w:rFonts w:ascii="Times New Roman" w:hAnsi="Times New Roman" w:eastAsia="宋体" w:cs="Times New Roman"/>
                <w:color w:val="auto"/>
                <w:sz w:val="21"/>
                <w:szCs w:val="21"/>
              </w:rPr>
            </w:pPr>
            <w:r>
              <w:rPr>
                <w:rFonts w:hint="default" w:ascii="Times New Roman" w:hAnsi="Times New Roman" w:eastAsia="宋体" w:cs="Times New Roman"/>
                <w:color w:val="auto"/>
              </w:rPr>
              <w:t xml:space="preserve">9.00 </w:t>
            </w:r>
          </w:p>
        </w:tc>
        <w:tc>
          <w:tcPr>
            <w:tcW w:w="446" w:type="pct"/>
            <w:vAlign w:val="center"/>
          </w:tcPr>
          <w:p w14:paraId="532DF01F">
            <w:pPr>
              <w:widowControl/>
              <w:spacing w:line="240" w:lineRule="auto"/>
              <w:ind w:firstLine="0" w:firstLineChars="0"/>
              <w:jc w:val="center"/>
              <w:rPr>
                <w:rFonts w:ascii="Times New Roman" w:hAnsi="Times New Roman" w:eastAsia="宋体" w:cs="Times New Roman"/>
                <w:color w:val="auto"/>
                <w:sz w:val="21"/>
                <w:szCs w:val="21"/>
              </w:rPr>
            </w:pPr>
            <w:r>
              <w:rPr>
                <w:rFonts w:hint="default" w:ascii="Times New Roman" w:hAnsi="Times New Roman" w:eastAsia="宋体" w:cs="Times New Roman"/>
                <w:color w:val="auto"/>
              </w:rPr>
              <w:t xml:space="preserve">9.00 </w:t>
            </w:r>
          </w:p>
        </w:tc>
        <w:tc>
          <w:tcPr>
            <w:tcW w:w="583" w:type="pct"/>
            <w:vAlign w:val="center"/>
          </w:tcPr>
          <w:p w14:paraId="745BF03A">
            <w:pPr>
              <w:widowControl/>
              <w:spacing w:line="240" w:lineRule="auto"/>
              <w:ind w:firstLine="0" w:firstLineChars="0"/>
              <w:jc w:val="center"/>
              <w:rPr>
                <w:rFonts w:ascii="Times New Roman" w:hAnsi="Times New Roman" w:eastAsia="宋体" w:cs="Times New Roman"/>
                <w:color w:val="auto"/>
                <w:sz w:val="21"/>
                <w:szCs w:val="21"/>
              </w:rPr>
            </w:pPr>
            <w:r>
              <w:rPr>
                <w:rFonts w:hint="default" w:ascii="Times New Roman" w:hAnsi="Times New Roman" w:eastAsia="宋体" w:cs="Times New Roman"/>
                <w:color w:val="auto"/>
              </w:rPr>
              <w:t>100.00%</w:t>
            </w:r>
          </w:p>
        </w:tc>
      </w:tr>
      <w:tr w14:paraId="136A2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595" w:type="pct"/>
            <w:vMerge w:val="continue"/>
            <w:vAlign w:val="center"/>
          </w:tcPr>
          <w:p w14:paraId="11B15004">
            <w:pPr>
              <w:widowControl/>
              <w:spacing w:line="240" w:lineRule="auto"/>
              <w:ind w:firstLine="0" w:firstLineChars="0"/>
              <w:jc w:val="center"/>
              <w:rPr>
                <w:rFonts w:ascii="Times New Roman" w:hAnsi="Times New Roman" w:eastAsia="宋体" w:cs="Times New Roman"/>
                <w:color w:val="auto"/>
                <w:sz w:val="21"/>
                <w:szCs w:val="21"/>
              </w:rPr>
            </w:pPr>
          </w:p>
        </w:tc>
        <w:tc>
          <w:tcPr>
            <w:tcW w:w="677" w:type="pct"/>
            <w:vAlign w:val="center"/>
          </w:tcPr>
          <w:p w14:paraId="26F8C017">
            <w:pPr>
              <w:widowControl/>
              <w:spacing w:line="240" w:lineRule="auto"/>
              <w:ind w:firstLine="0" w:firstLineChars="0"/>
              <w:jc w:val="left"/>
              <w:rPr>
                <w:rFonts w:ascii="Times New Roman" w:hAnsi="Times New Roman" w:eastAsia="宋体" w:cs="Times New Roman"/>
                <w:color w:val="auto"/>
                <w:sz w:val="21"/>
                <w:szCs w:val="21"/>
              </w:rPr>
            </w:pPr>
            <w:r>
              <w:rPr>
                <w:rFonts w:hint="default" w:ascii="Times New Roman" w:hAnsi="Times New Roman" w:eastAsia="宋体" w:cs="Times New Roman"/>
                <w:color w:val="auto"/>
              </w:rPr>
              <w:t>C2产出质量</w:t>
            </w:r>
          </w:p>
        </w:tc>
        <w:tc>
          <w:tcPr>
            <w:tcW w:w="1226" w:type="pct"/>
            <w:vAlign w:val="center"/>
          </w:tcPr>
          <w:p w14:paraId="01EB9F89">
            <w:pPr>
              <w:widowControl/>
              <w:spacing w:line="240" w:lineRule="auto"/>
              <w:ind w:firstLine="0" w:firstLineChars="0"/>
              <w:jc w:val="left"/>
              <w:rPr>
                <w:rFonts w:ascii="Times New Roman" w:hAnsi="Times New Roman" w:eastAsia="宋体" w:cs="Times New Roman"/>
                <w:color w:val="auto"/>
                <w:sz w:val="21"/>
                <w:szCs w:val="21"/>
              </w:rPr>
            </w:pPr>
            <w:r>
              <w:rPr>
                <w:rFonts w:hint="default" w:ascii="Times New Roman" w:hAnsi="Times New Roman" w:eastAsia="宋体" w:cs="Times New Roman"/>
                <w:color w:val="auto"/>
              </w:rPr>
              <w:t>C21资助对象符合性</w:t>
            </w:r>
          </w:p>
        </w:tc>
        <w:tc>
          <w:tcPr>
            <w:tcW w:w="521" w:type="pct"/>
            <w:vAlign w:val="center"/>
          </w:tcPr>
          <w:p w14:paraId="1DAE5FCA">
            <w:pPr>
              <w:widowControl/>
              <w:spacing w:line="240" w:lineRule="auto"/>
              <w:ind w:firstLine="0" w:firstLineChars="0"/>
              <w:jc w:val="center"/>
              <w:rPr>
                <w:rFonts w:ascii="Times New Roman" w:hAnsi="Times New Roman" w:eastAsia="宋体" w:cs="Times New Roman"/>
                <w:color w:val="auto"/>
                <w:sz w:val="21"/>
                <w:szCs w:val="21"/>
              </w:rPr>
            </w:pPr>
            <w:r>
              <w:rPr>
                <w:rFonts w:hint="default" w:ascii="Times New Roman" w:hAnsi="Times New Roman" w:eastAsia="宋体" w:cs="Times New Roman"/>
                <w:color w:val="auto"/>
              </w:rPr>
              <w:t>100.00%</w:t>
            </w:r>
          </w:p>
        </w:tc>
        <w:tc>
          <w:tcPr>
            <w:tcW w:w="534" w:type="pct"/>
            <w:vAlign w:val="center"/>
          </w:tcPr>
          <w:p w14:paraId="68DC003E">
            <w:pPr>
              <w:widowControl/>
              <w:spacing w:line="240" w:lineRule="auto"/>
              <w:ind w:firstLine="0" w:firstLineChars="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rPr>
              <w:t>95.83%</w:t>
            </w:r>
          </w:p>
        </w:tc>
        <w:tc>
          <w:tcPr>
            <w:tcW w:w="416" w:type="pct"/>
            <w:vAlign w:val="center"/>
          </w:tcPr>
          <w:p w14:paraId="5785CFB7">
            <w:pPr>
              <w:widowControl/>
              <w:spacing w:line="240" w:lineRule="auto"/>
              <w:ind w:firstLine="0" w:firstLineChars="0"/>
              <w:jc w:val="center"/>
              <w:rPr>
                <w:rFonts w:ascii="Times New Roman" w:hAnsi="Times New Roman" w:eastAsia="宋体" w:cs="Times New Roman"/>
                <w:color w:val="auto"/>
                <w:sz w:val="21"/>
                <w:szCs w:val="21"/>
              </w:rPr>
            </w:pPr>
            <w:r>
              <w:rPr>
                <w:rFonts w:hint="default" w:ascii="Times New Roman" w:hAnsi="Times New Roman" w:eastAsia="宋体" w:cs="Times New Roman"/>
                <w:color w:val="auto"/>
                <w:lang w:val="en-US" w:eastAsia="zh-CN"/>
              </w:rPr>
              <w:t>6</w:t>
            </w:r>
            <w:r>
              <w:rPr>
                <w:rFonts w:hint="default" w:ascii="Times New Roman" w:hAnsi="Times New Roman" w:eastAsia="宋体" w:cs="Times New Roman"/>
                <w:color w:val="auto"/>
              </w:rPr>
              <w:t xml:space="preserve">.00 </w:t>
            </w:r>
          </w:p>
        </w:tc>
        <w:tc>
          <w:tcPr>
            <w:tcW w:w="446" w:type="pct"/>
            <w:vAlign w:val="center"/>
          </w:tcPr>
          <w:p w14:paraId="28010553">
            <w:pPr>
              <w:widowControl/>
              <w:spacing w:line="240" w:lineRule="auto"/>
              <w:ind w:firstLine="0" w:firstLineChars="0"/>
              <w:jc w:val="center"/>
              <w:rPr>
                <w:rFonts w:ascii="Times New Roman" w:hAnsi="Times New Roman" w:eastAsia="宋体" w:cs="Times New Roman"/>
                <w:color w:val="auto"/>
                <w:sz w:val="21"/>
                <w:szCs w:val="21"/>
              </w:rPr>
            </w:pPr>
            <w:r>
              <w:rPr>
                <w:rFonts w:hint="eastAsia" w:eastAsia="宋体" w:cs="Times New Roman"/>
                <w:color w:val="auto"/>
                <w:lang w:val="en-US" w:eastAsia="zh-CN"/>
              </w:rPr>
              <w:t>5.37</w:t>
            </w:r>
            <w:r>
              <w:rPr>
                <w:rFonts w:hint="default" w:ascii="Times New Roman" w:hAnsi="Times New Roman" w:eastAsia="宋体" w:cs="Times New Roman"/>
                <w:color w:val="auto"/>
              </w:rPr>
              <w:t xml:space="preserve"> </w:t>
            </w:r>
          </w:p>
        </w:tc>
        <w:tc>
          <w:tcPr>
            <w:tcW w:w="583" w:type="pct"/>
            <w:vAlign w:val="center"/>
          </w:tcPr>
          <w:p w14:paraId="73A63CB3">
            <w:pPr>
              <w:widowControl/>
              <w:spacing w:line="240" w:lineRule="auto"/>
              <w:ind w:firstLine="0" w:firstLineChars="0"/>
              <w:jc w:val="center"/>
              <w:rPr>
                <w:rFonts w:ascii="Times New Roman" w:hAnsi="Times New Roman" w:eastAsia="宋体" w:cs="Times New Roman"/>
                <w:color w:val="auto"/>
                <w:sz w:val="21"/>
                <w:szCs w:val="21"/>
              </w:rPr>
            </w:pPr>
            <w:r>
              <w:rPr>
                <w:rFonts w:hint="eastAsia" w:eastAsia="宋体" w:cs="Times New Roman"/>
                <w:color w:val="auto"/>
                <w:lang w:val="en-US" w:eastAsia="zh-CN"/>
              </w:rPr>
              <w:t>89.50</w:t>
            </w:r>
            <w:r>
              <w:rPr>
                <w:rFonts w:hint="default" w:ascii="Times New Roman" w:hAnsi="Times New Roman" w:eastAsia="宋体" w:cs="Times New Roman"/>
                <w:color w:val="auto"/>
              </w:rPr>
              <w:t>%</w:t>
            </w:r>
          </w:p>
        </w:tc>
      </w:tr>
      <w:tr w14:paraId="1F7C0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595" w:type="pct"/>
            <w:vMerge w:val="continue"/>
            <w:vAlign w:val="center"/>
          </w:tcPr>
          <w:p w14:paraId="18C9B60F">
            <w:pPr>
              <w:widowControl/>
              <w:spacing w:line="240" w:lineRule="auto"/>
              <w:ind w:firstLine="0" w:firstLineChars="0"/>
              <w:jc w:val="center"/>
              <w:rPr>
                <w:rFonts w:ascii="Times New Roman" w:hAnsi="Times New Roman" w:eastAsia="宋体" w:cs="Times New Roman"/>
                <w:color w:val="auto"/>
                <w:sz w:val="21"/>
                <w:szCs w:val="21"/>
              </w:rPr>
            </w:pPr>
          </w:p>
        </w:tc>
        <w:tc>
          <w:tcPr>
            <w:tcW w:w="677" w:type="pct"/>
            <w:vAlign w:val="center"/>
          </w:tcPr>
          <w:p w14:paraId="304E3A6C">
            <w:pPr>
              <w:widowControl/>
              <w:spacing w:line="240" w:lineRule="auto"/>
              <w:ind w:firstLine="0" w:firstLineChars="0"/>
              <w:jc w:val="left"/>
              <w:rPr>
                <w:rFonts w:ascii="Times New Roman" w:hAnsi="Times New Roman" w:eastAsia="宋体" w:cs="Times New Roman"/>
                <w:color w:val="auto"/>
                <w:sz w:val="21"/>
                <w:szCs w:val="21"/>
              </w:rPr>
            </w:pPr>
            <w:r>
              <w:rPr>
                <w:rFonts w:hint="default" w:ascii="Times New Roman" w:hAnsi="Times New Roman" w:eastAsia="宋体" w:cs="Times New Roman"/>
                <w:color w:val="auto"/>
              </w:rPr>
              <w:t>C3产出时效</w:t>
            </w:r>
          </w:p>
        </w:tc>
        <w:tc>
          <w:tcPr>
            <w:tcW w:w="1226" w:type="pct"/>
            <w:vAlign w:val="center"/>
          </w:tcPr>
          <w:p w14:paraId="38C7C617">
            <w:pPr>
              <w:widowControl/>
              <w:spacing w:line="240" w:lineRule="auto"/>
              <w:ind w:firstLine="0" w:firstLineChars="0"/>
              <w:jc w:val="left"/>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rPr>
              <w:t>C31</w:t>
            </w:r>
            <w:r>
              <w:rPr>
                <w:rFonts w:hint="default" w:ascii="Times New Roman" w:hAnsi="Times New Roman" w:eastAsia="宋体" w:cs="Times New Roman"/>
                <w:color w:val="auto"/>
                <w:lang w:eastAsia="zh-CN"/>
              </w:rPr>
              <w:t>助学金发放及时率</w:t>
            </w:r>
          </w:p>
        </w:tc>
        <w:tc>
          <w:tcPr>
            <w:tcW w:w="521" w:type="pct"/>
            <w:vAlign w:val="center"/>
          </w:tcPr>
          <w:p w14:paraId="41436586">
            <w:pPr>
              <w:widowControl/>
              <w:spacing w:line="240" w:lineRule="auto"/>
              <w:ind w:firstLine="0" w:firstLineChars="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lang w:eastAsia="zh-CN"/>
              </w:rPr>
              <w:t>100.00%</w:t>
            </w:r>
          </w:p>
        </w:tc>
        <w:tc>
          <w:tcPr>
            <w:tcW w:w="534" w:type="pct"/>
            <w:vAlign w:val="center"/>
          </w:tcPr>
          <w:p w14:paraId="7A51C613">
            <w:pPr>
              <w:widowControl/>
              <w:spacing w:line="240" w:lineRule="auto"/>
              <w:ind w:firstLine="0" w:firstLineChars="0"/>
              <w:jc w:val="center"/>
              <w:rPr>
                <w:rFonts w:hint="default" w:ascii="Times New Roman" w:hAnsi="Times New Roman" w:eastAsia="宋体" w:cs="Times New Roman"/>
                <w:color w:val="auto"/>
                <w:sz w:val="21"/>
                <w:szCs w:val="21"/>
                <w:lang w:val="en-US" w:eastAsia="zh-CN"/>
              </w:rPr>
            </w:pPr>
            <w:r>
              <w:rPr>
                <w:rFonts w:hint="eastAsia" w:eastAsia="宋体" w:cs="Times New Roman"/>
                <w:color w:val="auto"/>
                <w:lang w:val="en-US" w:eastAsia="zh-CN"/>
              </w:rPr>
              <w:t>44.44%</w:t>
            </w:r>
          </w:p>
        </w:tc>
        <w:tc>
          <w:tcPr>
            <w:tcW w:w="416" w:type="pct"/>
            <w:vAlign w:val="center"/>
          </w:tcPr>
          <w:p w14:paraId="0DC79292">
            <w:pPr>
              <w:widowControl/>
              <w:spacing w:line="240" w:lineRule="auto"/>
              <w:ind w:firstLine="0" w:firstLineChars="0"/>
              <w:jc w:val="center"/>
              <w:rPr>
                <w:rFonts w:ascii="Times New Roman" w:hAnsi="Times New Roman" w:eastAsia="宋体" w:cs="Times New Roman"/>
                <w:color w:val="auto"/>
                <w:sz w:val="21"/>
                <w:szCs w:val="21"/>
              </w:rPr>
            </w:pPr>
            <w:r>
              <w:rPr>
                <w:rFonts w:hint="default" w:ascii="Times New Roman" w:hAnsi="Times New Roman" w:eastAsia="宋体" w:cs="Times New Roman"/>
                <w:color w:val="auto"/>
                <w:lang w:val="en-US" w:eastAsia="zh-CN"/>
              </w:rPr>
              <w:t>5</w:t>
            </w:r>
            <w:r>
              <w:rPr>
                <w:rFonts w:hint="default" w:ascii="Times New Roman" w:hAnsi="Times New Roman" w:eastAsia="宋体" w:cs="Times New Roman"/>
                <w:color w:val="auto"/>
              </w:rPr>
              <w:t xml:space="preserve">.00 </w:t>
            </w:r>
          </w:p>
        </w:tc>
        <w:tc>
          <w:tcPr>
            <w:tcW w:w="446" w:type="pct"/>
            <w:vAlign w:val="center"/>
          </w:tcPr>
          <w:p w14:paraId="52D2CCB4">
            <w:pPr>
              <w:widowControl/>
              <w:spacing w:line="240" w:lineRule="auto"/>
              <w:ind w:firstLine="0" w:firstLineChars="0"/>
              <w:jc w:val="center"/>
              <w:rPr>
                <w:rFonts w:ascii="Times New Roman" w:hAnsi="Times New Roman" w:eastAsia="宋体" w:cs="Times New Roman"/>
                <w:color w:val="auto"/>
                <w:sz w:val="21"/>
                <w:szCs w:val="21"/>
              </w:rPr>
            </w:pPr>
            <w:r>
              <w:rPr>
                <w:rFonts w:hint="eastAsia" w:eastAsia="宋体" w:cs="Times New Roman"/>
                <w:color w:val="auto"/>
                <w:lang w:val="en-US" w:eastAsia="zh-CN"/>
              </w:rPr>
              <w:t>0.00</w:t>
            </w:r>
            <w:r>
              <w:rPr>
                <w:rFonts w:hint="default" w:ascii="Times New Roman" w:hAnsi="Times New Roman" w:eastAsia="宋体" w:cs="Times New Roman"/>
                <w:color w:val="auto"/>
              </w:rPr>
              <w:t xml:space="preserve"> </w:t>
            </w:r>
          </w:p>
        </w:tc>
        <w:tc>
          <w:tcPr>
            <w:tcW w:w="583" w:type="pct"/>
            <w:vAlign w:val="center"/>
          </w:tcPr>
          <w:p w14:paraId="7640A468">
            <w:pPr>
              <w:widowControl/>
              <w:spacing w:line="240" w:lineRule="auto"/>
              <w:ind w:firstLine="0" w:firstLineChars="0"/>
              <w:jc w:val="center"/>
              <w:rPr>
                <w:rFonts w:ascii="Times New Roman" w:hAnsi="Times New Roman" w:eastAsia="宋体" w:cs="Times New Roman"/>
                <w:color w:val="auto"/>
                <w:sz w:val="21"/>
                <w:szCs w:val="21"/>
              </w:rPr>
            </w:pPr>
            <w:r>
              <w:rPr>
                <w:rFonts w:hint="default" w:ascii="Times New Roman" w:hAnsi="Times New Roman" w:eastAsia="宋体" w:cs="Times New Roman"/>
                <w:color w:val="auto"/>
              </w:rPr>
              <w:t>0.00%</w:t>
            </w:r>
          </w:p>
        </w:tc>
      </w:tr>
      <w:tr w14:paraId="7C98E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595" w:type="pct"/>
            <w:vMerge w:val="continue"/>
            <w:vAlign w:val="center"/>
          </w:tcPr>
          <w:p w14:paraId="0CA40EA4">
            <w:pPr>
              <w:widowControl/>
              <w:spacing w:line="240" w:lineRule="auto"/>
              <w:ind w:firstLine="0" w:firstLineChars="0"/>
              <w:jc w:val="center"/>
              <w:rPr>
                <w:rFonts w:ascii="Times New Roman" w:hAnsi="Times New Roman" w:eastAsia="宋体" w:cs="Times New Roman"/>
                <w:color w:val="auto"/>
                <w:sz w:val="21"/>
                <w:szCs w:val="21"/>
              </w:rPr>
            </w:pPr>
          </w:p>
        </w:tc>
        <w:tc>
          <w:tcPr>
            <w:tcW w:w="677" w:type="pct"/>
            <w:vAlign w:val="center"/>
          </w:tcPr>
          <w:p w14:paraId="719A8532">
            <w:pPr>
              <w:widowControl/>
              <w:spacing w:line="240" w:lineRule="auto"/>
              <w:ind w:firstLine="0" w:firstLineChars="0"/>
              <w:jc w:val="left"/>
              <w:rPr>
                <w:rFonts w:ascii="Times New Roman" w:hAnsi="Times New Roman" w:eastAsia="宋体" w:cs="Times New Roman"/>
                <w:color w:val="auto"/>
                <w:sz w:val="21"/>
                <w:szCs w:val="21"/>
              </w:rPr>
            </w:pPr>
            <w:r>
              <w:rPr>
                <w:rFonts w:hint="default" w:ascii="Times New Roman" w:hAnsi="Times New Roman" w:eastAsia="宋体" w:cs="Times New Roman"/>
                <w:color w:val="auto"/>
              </w:rPr>
              <w:t>C4产出成本</w:t>
            </w:r>
          </w:p>
        </w:tc>
        <w:tc>
          <w:tcPr>
            <w:tcW w:w="1226" w:type="pct"/>
            <w:vAlign w:val="center"/>
          </w:tcPr>
          <w:p w14:paraId="0EEDC747">
            <w:pPr>
              <w:widowControl/>
              <w:spacing w:line="240" w:lineRule="auto"/>
              <w:ind w:firstLine="0" w:firstLineChars="0"/>
              <w:jc w:val="left"/>
              <w:rPr>
                <w:rFonts w:ascii="Times New Roman" w:hAnsi="Times New Roman" w:eastAsia="宋体" w:cs="Times New Roman"/>
                <w:color w:val="auto"/>
                <w:sz w:val="21"/>
                <w:szCs w:val="21"/>
              </w:rPr>
            </w:pPr>
            <w:r>
              <w:rPr>
                <w:rFonts w:hint="default" w:ascii="Times New Roman" w:hAnsi="Times New Roman" w:eastAsia="宋体" w:cs="Times New Roman"/>
                <w:color w:val="auto"/>
              </w:rPr>
              <w:t>C41孤儿资助标准</w:t>
            </w:r>
          </w:p>
        </w:tc>
        <w:tc>
          <w:tcPr>
            <w:tcW w:w="521" w:type="pct"/>
            <w:vAlign w:val="center"/>
          </w:tcPr>
          <w:p w14:paraId="73844831">
            <w:pPr>
              <w:widowControl/>
              <w:spacing w:line="240" w:lineRule="auto"/>
              <w:ind w:firstLine="0" w:firstLineChars="0"/>
              <w:jc w:val="center"/>
              <w:rPr>
                <w:rFonts w:ascii="Times New Roman" w:hAnsi="Times New Roman" w:eastAsia="宋体" w:cs="Times New Roman"/>
                <w:color w:val="auto"/>
                <w:sz w:val="21"/>
                <w:szCs w:val="21"/>
              </w:rPr>
            </w:pPr>
            <w:r>
              <w:rPr>
                <w:rFonts w:hint="default" w:ascii="Times New Roman" w:hAnsi="Times New Roman" w:cs="Times New Roman"/>
                <w:color w:val="auto"/>
                <w:lang w:eastAsia="zh-CN"/>
              </w:rPr>
              <w:t>1.00万元/人·年</w:t>
            </w:r>
          </w:p>
        </w:tc>
        <w:tc>
          <w:tcPr>
            <w:tcW w:w="534" w:type="pct"/>
            <w:vAlign w:val="center"/>
          </w:tcPr>
          <w:p w14:paraId="4729DE7E">
            <w:pPr>
              <w:widowControl/>
              <w:spacing w:line="240" w:lineRule="auto"/>
              <w:ind w:firstLine="0" w:firstLineChars="0"/>
              <w:jc w:val="center"/>
              <w:rPr>
                <w:rFonts w:hint="default" w:ascii="Times New Roman" w:hAnsi="Times New Roman" w:eastAsia="宋体" w:cs="Times New Roman"/>
                <w:color w:val="auto"/>
                <w:sz w:val="21"/>
                <w:szCs w:val="21"/>
                <w:lang w:val="en-US" w:eastAsia="zh-CN"/>
              </w:rPr>
            </w:pPr>
            <w:r>
              <w:rPr>
                <w:rFonts w:hint="default" w:ascii="Times New Roman" w:hAnsi="Times New Roman" w:cs="Times New Roman"/>
                <w:color w:val="auto"/>
                <w:lang w:eastAsia="zh-CN"/>
              </w:rPr>
              <w:t>1.00万元/人·年</w:t>
            </w:r>
          </w:p>
        </w:tc>
        <w:tc>
          <w:tcPr>
            <w:tcW w:w="416" w:type="pct"/>
            <w:vAlign w:val="center"/>
          </w:tcPr>
          <w:p w14:paraId="31B8F8C5">
            <w:pPr>
              <w:widowControl/>
              <w:spacing w:line="240" w:lineRule="auto"/>
              <w:ind w:firstLine="0" w:firstLineChars="0"/>
              <w:jc w:val="center"/>
              <w:rPr>
                <w:rFonts w:ascii="Times New Roman" w:hAnsi="Times New Roman" w:eastAsia="宋体" w:cs="Times New Roman"/>
                <w:color w:val="auto"/>
                <w:sz w:val="21"/>
                <w:szCs w:val="21"/>
              </w:rPr>
            </w:pPr>
            <w:r>
              <w:rPr>
                <w:rFonts w:hint="default" w:ascii="Times New Roman" w:hAnsi="Times New Roman" w:eastAsia="宋体" w:cs="Times New Roman"/>
                <w:color w:val="auto"/>
              </w:rPr>
              <w:t xml:space="preserve">10.00 </w:t>
            </w:r>
          </w:p>
        </w:tc>
        <w:tc>
          <w:tcPr>
            <w:tcW w:w="446" w:type="pct"/>
            <w:vAlign w:val="center"/>
          </w:tcPr>
          <w:p w14:paraId="7D03E91E">
            <w:pPr>
              <w:widowControl/>
              <w:spacing w:line="240" w:lineRule="auto"/>
              <w:ind w:firstLine="0" w:firstLineChars="0"/>
              <w:jc w:val="center"/>
              <w:rPr>
                <w:rFonts w:ascii="Times New Roman" w:hAnsi="Times New Roman" w:eastAsia="宋体" w:cs="Times New Roman"/>
                <w:color w:val="auto"/>
                <w:sz w:val="21"/>
                <w:szCs w:val="21"/>
              </w:rPr>
            </w:pPr>
            <w:r>
              <w:rPr>
                <w:rFonts w:hint="default" w:ascii="Times New Roman" w:hAnsi="Times New Roman" w:eastAsia="宋体" w:cs="Times New Roman"/>
                <w:color w:val="auto"/>
              </w:rPr>
              <w:t xml:space="preserve">10.00 </w:t>
            </w:r>
          </w:p>
        </w:tc>
        <w:tc>
          <w:tcPr>
            <w:tcW w:w="583" w:type="pct"/>
            <w:vAlign w:val="center"/>
          </w:tcPr>
          <w:p w14:paraId="631D6EBE">
            <w:pPr>
              <w:widowControl/>
              <w:spacing w:line="240" w:lineRule="auto"/>
              <w:ind w:firstLine="0" w:firstLineChars="0"/>
              <w:jc w:val="center"/>
              <w:rPr>
                <w:rFonts w:ascii="Times New Roman" w:hAnsi="Times New Roman" w:eastAsia="宋体" w:cs="Times New Roman"/>
                <w:color w:val="auto"/>
                <w:sz w:val="21"/>
                <w:szCs w:val="21"/>
              </w:rPr>
            </w:pPr>
            <w:r>
              <w:rPr>
                <w:rFonts w:hint="default" w:ascii="Times New Roman" w:hAnsi="Times New Roman" w:eastAsia="宋体" w:cs="Times New Roman"/>
                <w:color w:val="auto"/>
              </w:rPr>
              <w:t>100.00%</w:t>
            </w:r>
          </w:p>
        </w:tc>
      </w:tr>
      <w:tr w14:paraId="274D1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2498" w:type="pct"/>
            <w:gridSpan w:val="3"/>
            <w:vAlign w:val="center"/>
          </w:tcPr>
          <w:p w14:paraId="56CC9808">
            <w:pPr>
              <w:widowControl/>
              <w:spacing w:line="240" w:lineRule="auto"/>
              <w:ind w:firstLine="0" w:firstLineChars="0"/>
              <w:jc w:val="center"/>
              <w:rPr>
                <w:rFonts w:ascii="Times New Roman" w:hAnsi="Times New Roman" w:eastAsia="宋体" w:cs="Times New Roman"/>
                <w:color w:val="auto"/>
                <w:sz w:val="21"/>
                <w:szCs w:val="21"/>
              </w:rPr>
            </w:pPr>
            <w:r>
              <w:rPr>
                <w:rFonts w:hint="default" w:ascii="Times New Roman" w:hAnsi="Times New Roman" w:eastAsia="宋体" w:cs="Times New Roman"/>
                <w:b/>
                <w:bCs/>
                <w:color w:val="auto"/>
                <w:kern w:val="0"/>
                <w:lang w:bidi="ar"/>
              </w:rPr>
              <w:t>合计</w:t>
            </w:r>
          </w:p>
        </w:tc>
        <w:tc>
          <w:tcPr>
            <w:tcW w:w="521" w:type="pct"/>
            <w:vAlign w:val="center"/>
          </w:tcPr>
          <w:p w14:paraId="39C36B7F">
            <w:pPr>
              <w:widowControl/>
              <w:spacing w:line="240" w:lineRule="auto"/>
              <w:ind w:firstLine="0" w:firstLineChars="0"/>
              <w:jc w:val="center"/>
              <w:rPr>
                <w:rFonts w:ascii="Times New Roman" w:hAnsi="Times New Roman" w:eastAsia="宋体" w:cs="Times New Roman"/>
                <w:color w:val="auto"/>
                <w:sz w:val="21"/>
                <w:szCs w:val="21"/>
              </w:rPr>
            </w:pPr>
          </w:p>
        </w:tc>
        <w:tc>
          <w:tcPr>
            <w:tcW w:w="534" w:type="pct"/>
            <w:vAlign w:val="center"/>
          </w:tcPr>
          <w:p w14:paraId="39FA217F">
            <w:pPr>
              <w:widowControl/>
              <w:spacing w:line="240" w:lineRule="auto"/>
              <w:ind w:firstLine="0" w:firstLineChars="0"/>
              <w:jc w:val="center"/>
              <w:rPr>
                <w:rFonts w:hint="default" w:ascii="Times New Roman" w:hAnsi="Times New Roman" w:eastAsia="宋体" w:cs="Times New Roman"/>
                <w:color w:val="auto"/>
                <w:sz w:val="21"/>
                <w:szCs w:val="21"/>
                <w:lang w:val="en-US" w:eastAsia="zh-CN"/>
              </w:rPr>
            </w:pPr>
          </w:p>
        </w:tc>
        <w:tc>
          <w:tcPr>
            <w:tcW w:w="416" w:type="pct"/>
            <w:vAlign w:val="center"/>
          </w:tcPr>
          <w:p w14:paraId="61EF1184">
            <w:pPr>
              <w:widowControl/>
              <w:spacing w:line="240" w:lineRule="auto"/>
              <w:ind w:firstLine="0" w:firstLineChars="0"/>
              <w:jc w:val="center"/>
              <w:rPr>
                <w:rFonts w:ascii="Times New Roman" w:hAnsi="Times New Roman" w:eastAsia="宋体" w:cs="Times New Roman"/>
                <w:color w:val="auto"/>
                <w:sz w:val="21"/>
                <w:szCs w:val="21"/>
              </w:rPr>
            </w:pPr>
            <w:r>
              <w:rPr>
                <w:rFonts w:hint="default" w:ascii="Times New Roman" w:hAnsi="Times New Roman" w:eastAsia="宋体" w:cs="Times New Roman"/>
                <w:b/>
                <w:bCs/>
                <w:color w:val="auto"/>
                <w:kern w:val="0"/>
                <w:lang w:bidi="ar"/>
              </w:rPr>
              <w:t xml:space="preserve">30.00 </w:t>
            </w:r>
          </w:p>
        </w:tc>
        <w:tc>
          <w:tcPr>
            <w:tcW w:w="446" w:type="pct"/>
            <w:vAlign w:val="center"/>
          </w:tcPr>
          <w:p w14:paraId="2C3FD538">
            <w:pPr>
              <w:widowControl/>
              <w:spacing w:line="240" w:lineRule="auto"/>
              <w:ind w:firstLine="0" w:firstLineChars="0"/>
              <w:jc w:val="center"/>
              <w:rPr>
                <w:rFonts w:ascii="Times New Roman" w:hAnsi="Times New Roman" w:eastAsia="宋体" w:cs="Times New Roman"/>
                <w:color w:val="auto"/>
                <w:sz w:val="21"/>
                <w:szCs w:val="21"/>
              </w:rPr>
            </w:pPr>
            <w:r>
              <w:rPr>
                <w:rFonts w:hint="eastAsia" w:eastAsia="宋体" w:cs="Times New Roman"/>
                <w:b/>
                <w:bCs/>
                <w:color w:val="auto"/>
                <w:kern w:val="0"/>
                <w:lang w:val="en-US" w:eastAsia="zh-CN" w:bidi="ar"/>
              </w:rPr>
              <w:t>24.37</w:t>
            </w:r>
            <w:r>
              <w:rPr>
                <w:rFonts w:hint="default" w:ascii="Times New Roman" w:hAnsi="Times New Roman" w:eastAsia="宋体" w:cs="Times New Roman"/>
                <w:b/>
                <w:bCs/>
                <w:color w:val="auto"/>
                <w:kern w:val="0"/>
                <w:lang w:bidi="ar"/>
              </w:rPr>
              <w:t xml:space="preserve"> </w:t>
            </w:r>
          </w:p>
        </w:tc>
        <w:tc>
          <w:tcPr>
            <w:tcW w:w="583" w:type="pct"/>
            <w:vAlign w:val="center"/>
          </w:tcPr>
          <w:p w14:paraId="73AFB9C6">
            <w:pPr>
              <w:widowControl/>
              <w:spacing w:line="240" w:lineRule="auto"/>
              <w:ind w:firstLine="0" w:firstLineChars="0"/>
              <w:jc w:val="center"/>
              <w:rPr>
                <w:rFonts w:ascii="Times New Roman" w:hAnsi="Times New Roman" w:eastAsia="宋体" w:cs="Times New Roman"/>
                <w:color w:val="auto"/>
                <w:sz w:val="21"/>
                <w:szCs w:val="21"/>
              </w:rPr>
            </w:pPr>
            <w:r>
              <w:rPr>
                <w:rFonts w:hint="eastAsia" w:eastAsia="宋体" w:cs="Times New Roman"/>
                <w:b/>
                <w:bCs/>
                <w:color w:val="auto"/>
                <w:kern w:val="0"/>
                <w:lang w:val="en-US" w:eastAsia="zh-CN" w:bidi="ar"/>
              </w:rPr>
              <w:t>81.2</w:t>
            </w:r>
            <w:r>
              <w:rPr>
                <w:rFonts w:hint="default" w:ascii="Times New Roman" w:hAnsi="Times New Roman" w:eastAsia="宋体" w:cs="Times New Roman"/>
                <w:b/>
                <w:bCs/>
                <w:color w:val="auto"/>
                <w:kern w:val="0"/>
                <w:lang w:val="en-US" w:eastAsia="zh-CN" w:bidi="ar"/>
              </w:rPr>
              <w:t>3</w:t>
            </w:r>
            <w:r>
              <w:rPr>
                <w:rFonts w:hint="default" w:ascii="Times New Roman" w:hAnsi="Times New Roman" w:eastAsia="宋体" w:cs="Times New Roman"/>
                <w:b/>
                <w:bCs/>
                <w:color w:val="auto"/>
                <w:kern w:val="0"/>
                <w:lang w:bidi="ar"/>
              </w:rPr>
              <w:t>%</w:t>
            </w:r>
          </w:p>
        </w:tc>
      </w:tr>
    </w:tbl>
    <w:p w14:paraId="51AE458F">
      <w:pPr>
        <w:pageBreakBefore w:val="0"/>
        <w:kinsoku/>
        <w:wordWrap/>
        <w:overflowPunct/>
        <w:topLinePunct w:val="0"/>
        <w:autoSpaceDE/>
        <w:autoSpaceDN/>
        <w:bidi w:val="0"/>
        <w:snapToGrid w:val="0"/>
        <w:spacing w:line="360" w:lineRule="auto"/>
        <w:ind w:firstLine="422"/>
        <w:rPr>
          <w:rFonts w:ascii="Times New Roman" w:hAnsi="Times New Roman" w:eastAsia="宋体" w:cs="Times New Roman"/>
          <w:b/>
          <w:bCs/>
          <w:color w:val="auto"/>
        </w:rPr>
      </w:pPr>
    </w:p>
    <w:p w14:paraId="05C8186D">
      <w:pPr>
        <w:pageBreakBefore w:val="0"/>
        <w:kinsoku/>
        <w:wordWrap/>
        <w:overflowPunct/>
        <w:topLinePunct w:val="0"/>
        <w:autoSpaceDE/>
        <w:autoSpaceDN/>
        <w:bidi w:val="0"/>
        <w:snapToGrid w:val="0"/>
        <w:spacing w:line="360" w:lineRule="auto"/>
        <w:ind w:firstLine="422"/>
        <w:rPr>
          <w:rFonts w:hint="default" w:ascii="Times New Roman" w:hAnsi="Times New Roman" w:cs="Times New Roman"/>
          <w:color w:val="auto"/>
        </w:rPr>
      </w:pPr>
      <w:r>
        <w:rPr>
          <w:rFonts w:hint="default" w:ascii="Times New Roman" w:hAnsi="Times New Roman" w:cs="Times New Roman" w:eastAsiaTheme="minorEastAsia"/>
          <w:b/>
          <w:bCs/>
          <w:color w:val="auto"/>
        </w:rPr>
        <w:t>指标得分分析</w:t>
      </w:r>
      <w:r>
        <w:rPr>
          <w:rFonts w:hint="default" w:ascii="Times New Roman" w:hAnsi="Times New Roman" w:cs="Times New Roman"/>
          <w:b/>
          <w:bCs/>
          <w:color w:val="auto"/>
        </w:rPr>
        <w:t>：</w:t>
      </w:r>
    </w:p>
    <w:p w14:paraId="667DCFD3">
      <w:pPr>
        <w:numPr>
          <w:ilvl w:val="0"/>
          <w:numId w:val="0"/>
        </w:numPr>
        <w:spacing w:line="360" w:lineRule="auto"/>
        <w:ind w:firstLine="422"/>
        <w:rPr>
          <w:rFonts w:hint="default" w:ascii="Times New Roman" w:hAnsi="Times New Roman" w:cs="Times New Roman"/>
          <w:b/>
          <w:bCs/>
          <w:color w:val="auto"/>
        </w:rPr>
      </w:pPr>
      <w:r>
        <w:rPr>
          <w:rFonts w:hint="default" w:ascii="Times New Roman" w:hAnsi="Times New Roman" w:cs="Times New Roman" w:eastAsiaTheme="minorEastAsia"/>
          <w:b/>
          <w:bCs/>
          <w:color w:val="auto"/>
          <w:kern w:val="2"/>
          <w:sz w:val="21"/>
          <w:szCs w:val="21"/>
          <w:lang w:val="en-US" w:eastAsia="zh-CN" w:bidi="ar-SA"/>
        </w:rPr>
        <w:t>（1）</w:t>
      </w:r>
      <w:r>
        <w:rPr>
          <w:rFonts w:hint="default" w:ascii="Times New Roman" w:hAnsi="Times New Roman" w:cs="Times New Roman"/>
          <w:b/>
          <w:bCs/>
          <w:color w:val="auto"/>
        </w:rPr>
        <w:t>C11受助孤儿人数指标：</w:t>
      </w:r>
    </w:p>
    <w:p w14:paraId="46C24322">
      <w:pPr>
        <w:pageBreakBefore w:val="0"/>
        <w:kinsoku/>
        <w:wordWrap/>
        <w:overflowPunct/>
        <w:topLinePunct w:val="0"/>
        <w:autoSpaceDE/>
        <w:autoSpaceDN/>
        <w:bidi w:val="0"/>
        <w:snapToGrid w:val="0"/>
        <w:spacing w:line="360" w:lineRule="auto"/>
        <w:ind w:firstLine="420"/>
        <w:rPr>
          <w:rFonts w:hint="eastAsia" w:cs="Times New Roman"/>
          <w:color w:val="auto"/>
          <w:lang w:val="en-US" w:eastAsia="zh-CN"/>
        </w:rPr>
      </w:pPr>
      <w:r>
        <w:rPr>
          <w:rFonts w:hint="default" w:ascii="Times New Roman" w:hAnsi="Times New Roman" w:cs="Times New Roman"/>
          <w:color w:val="auto"/>
          <w:lang w:val="zh-TW" w:eastAsia="zh-CN"/>
        </w:rPr>
        <w:t>经查阅</w:t>
      </w:r>
      <w:r>
        <w:rPr>
          <w:rFonts w:hint="eastAsia" w:asciiTheme="minorEastAsia" w:hAnsiTheme="minorEastAsia" w:cstheme="minorEastAsia"/>
          <w:color w:val="auto"/>
          <w:lang w:val="en-US" w:eastAsia="zh-CN"/>
        </w:rPr>
        <w:t>全国儿童福利信息系统的儿童基本情况、家庭/监护人情况、机构养育情况、福利保障情况等信息可知，</w:t>
      </w:r>
      <w:r>
        <w:rPr>
          <w:rFonts w:hint="eastAsia" w:cs="Times New Roman"/>
          <w:color w:val="auto"/>
          <w:lang w:val="en-US" w:eastAsia="zh-CN"/>
        </w:rPr>
        <w:t>该项目补助的24名学生均属于伊宁县孤儿院收养的孤儿。</w:t>
      </w:r>
    </w:p>
    <w:p w14:paraId="66FF35A6">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lang w:val="zh-TW" w:eastAsia="zh-CN"/>
        </w:rPr>
      </w:pPr>
      <w:r>
        <w:rPr>
          <w:rFonts w:hint="default" w:ascii="Times New Roman" w:hAnsi="Times New Roman" w:cs="Times New Roman"/>
          <w:color w:val="auto"/>
          <w:lang w:val="zh-TW" w:eastAsia="zh-CN"/>
        </w:rPr>
        <w:t>该指标满分为9.00分，根据评分标准得9.00分。</w:t>
      </w:r>
    </w:p>
    <w:p w14:paraId="4E1BDC78">
      <w:pPr>
        <w:spacing w:line="360" w:lineRule="auto"/>
        <w:ind w:left="420" w:leftChars="200" w:firstLine="0" w:firstLineChars="0"/>
        <w:rPr>
          <w:rFonts w:hint="default" w:ascii="Times New Roman" w:hAnsi="Times New Roman" w:cs="Times New Roman"/>
          <w:b/>
          <w:bCs/>
          <w:color w:val="auto"/>
        </w:rPr>
      </w:pPr>
      <w:r>
        <w:rPr>
          <w:rFonts w:hint="default" w:ascii="Times New Roman" w:hAnsi="Times New Roman" w:cs="Times New Roman"/>
          <w:b/>
          <w:bCs/>
          <w:color w:val="auto"/>
        </w:rPr>
        <w:t>（2）C21资助</w:t>
      </w:r>
      <w:r>
        <w:rPr>
          <w:rFonts w:ascii="Times New Roman" w:hAnsi="Times New Roman" w:cs="Times New Roman"/>
          <w:b/>
          <w:bCs/>
          <w:color w:val="auto"/>
        </w:rPr>
        <w:t>对象符合性</w:t>
      </w:r>
      <w:r>
        <w:rPr>
          <w:rFonts w:hint="default" w:ascii="Times New Roman" w:hAnsi="Times New Roman" w:cs="Times New Roman"/>
          <w:b/>
          <w:bCs/>
          <w:color w:val="auto"/>
        </w:rPr>
        <w:t>指标：</w:t>
      </w:r>
    </w:p>
    <w:p w14:paraId="3CAEC398">
      <w:pPr>
        <w:pageBreakBefore w:val="0"/>
        <w:kinsoku/>
        <w:wordWrap/>
        <w:overflowPunct/>
        <w:topLinePunct w:val="0"/>
        <w:autoSpaceDE/>
        <w:autoSpaceDN/>
        <w:bidi w:val="0"/>
        <w:snapToGrid w:val="0"/>
        <w:spacing w:line="360" w:lineRule="auto"/>
        <w:ind w:firstLine="420"/>
        <w:rPr>
          <w:rFonts w:hint="eastAsia" w:cs="Times New Roman"/>
          <w:color w:val="auto"/>
          <w:lang w:val="en-US" w:eastAsia="zh-CN"/>
        </w:rPr>
      </w:pPr>
      <w:r>
        <w:rPr>
          <w:rFonts w:hint="eastAsia" w:cs="Times New Roman"/>
          <w:color w:val="auto"/>
          <w:lang w:val="en-US" w:eastAsia="zh-CN"/>
        </w:rPr>
        <w:t>按照</w:t>
      </w:r>
      <w:r>
        <w:rPr>
          <w:rFonts w:hint="default" w:ascii="Times New Roman" w:hAnsi="Times New Roman" w:cs="Times New Roman"/>
          <w:color w:val="auto"/>
          <w:lang w:val="zh-TW" w:eastAsia="zh-CN"/>
        </w:rPr>
        <w:t>《“福彩圆梦·孤儿助学工程”项目实施暂行办法》（民办发〔2019〕24号）规定</w:t>
      </w:r>
      <w:r>
        <w:rPr>
          <w:rFonts w:hint="eastAsia" w:ascii="Times New Roman" w:hAnsi="Times New Roman" w:cs="Times New Roman"/>
          <w:color w:val="auto"/>
          <w:lang w:val="en-US" w:eastAsia="zh-CN"/>
        </w:rPr>
        <w:t>中“资助对象范围是已被认定为孤儿身份、年满18周岁后在普通全日制本科学校、普通全日制专科学校、高等职业学校等高等院校及中等职业学校就读的中专、大专、本科学生和硕士研究生。</w:t>
      </w:r>
      <w:r>
        <w:rPr>
          <w:rFonts w:hint="eastAsia" w:cs="Times New Roman"/>
          <w:color w:val="auto"/>
          <w:lang w:val="en-US" w:eastAsia="zh-CN"/>
        </w:rPr>
        <w:t>”</w:t>
      </w:r>
    </w:p>
    <w:p w14:paraId="0D37F1D1">
      <w:pPr>
        <w:pageBreakBefore w:val="0"/>
        <w:kinsoku/>
        <w:wordWrap/>
        <w:overflowPunct/>
        <w:topLinePunct w:val="0"/>
        <w:autoSpaceDE/>
        <w:autoSpaceDN/>
        <w:bidi w:val="0"/>
        <w:snapToGrid w:val="0"/>
        <w:spacing w:line="360" w:lineRule="auto"/>
        <w:ind w:firstLine="420"/>
        <w:rPr>
          <w:rFonts w:hint="eastAsia"/>
          <w:lang w:val="en-US" w:eastAsia="zh-CN"/>
        </w:rPr>
      </w:pPr>
      <w:r>
        <w:rPr>
          <w:rFonts w:hint="default" w:ascii="Times New Roman" w:hAnsi="Times New Roman" w:eastAsia="宋体" w:cs="Times New Roman"/>
          <w:i w:val="0"/>
          <w:iCs w:val="0"/>
          <w:color w:val="auto"/>
          <w:kern w:val="0"/>
          <w:sz w:val="21"/>
          <w:szCs w:val="21"/>
          <w:u w:val="none"/>
          <w:lang w:val="en-US" w:eastAsia="zh-CN" w:bidi="ar"/>
        </w:rPr>
        <w:t>苏尼艳·阿力木江2023年9月</w:t>
      </w:r>
      <w:r>
        <w:rPr>
          <w:rFonts w:hint="eastAsia" w:eastAsia="宋体" w:cs="Times New Roman"/>
          <w:i w:val="0"/>
          <w:iCs w:val="0"/>
          <w:color w:val="auto"/>
          <w:kern w:val="0"/>
          <w:sz w:val="21"/>
          <w:szCs w:val="21"/>
          <w:u w:val="none"/>
          <w:lang w:val="en-US" w:eastAsia="zh-CN" w:bidi="ar"/>
        </w:rPr>
        <w:t>就读</w:t>
      </w:r>
      <w:r>
        <w:rPr>
          <w:rFonts w:hint="default" w:ascii="Times New Roman" w:hAnsi="Times New Roman" w:eastAsia="宋体" w:cs="Times New Roman"/>
          <w:i w:val="0"/>
          <w:iCs w:val="0"/>
          <w:color w:val="auto"/>
          <w:kern w:val="0"/>
          <w:sz w:val="21"/>
          <w:szCs w:val="21"/>
          <w:u w:val="none"/>
          <w:lang w:val="en-US" w:eastAsia="zh-CN" w:bidi="ar"/>
        </w:rPr>
        <w:t>石河子中山中等职业技术学校</w:t>
      </w:r>
      <w:r>
        <w:rPr>
          <w:rFonts w:hint="eastAsia" w:eastAsia="宋体" w:cs="Times New Roman"/>
          <w:i w:val="0"/>
          <w:iCs w:val="0"/>
          <w:color w:val="auto"/>
          <w:kern w:val="0"/>
          <w:sz w:val="21"/>
          <w:szCs w:val="21"/>
          <w:u w:val="none"/>
          <w:lang w:val="en-US" w:eastAsia="zh-CN" w:bidi="ar"/>
        </w:rPr>
        <w:t>，2024年该名孤儿17周岁，</w:t>
      </w:r>
      <w:r>
        <w:rPr>
          <w:rFonts w:hint="eastAsia"/>
          <w:lang w:val="en-US" w:eastAsia="zh-CN"/>
        </w:rPr>
        <w:t>与政策的补助年龄范围不符。根据《自查报告》可知：经请示自治区民政厅儿童福利司相关领导后，伊宁县孤儿院自查该儿童目前是孤儿身份、但未满18周岁且就读于中专，伊宁县孤儿院自查后将停发该儿童2024年第三、第四季度及2025年的福彩圆梦助学金。</w:t>
      </w:r>
    </w:p>
    <w:p w14:paraId="276D86E4">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lang w:val="zh-TW" w:eastAsia="zh-CN"/>
        </w:rPr>
      </w:pPr>
      <w:r>
        <w:rPr>
          <w:rFonts w:hint="eastAsia" w:ascii="Times New Roman" w:hAnsi="Times New Roman" w:cs="Times New Roman"/>
          <w:color w:val="auto"/>
          <w:lang w:val="en-US" w:eastAsia="zh-CN"/>
        </w:rPr>
        <w:t>实际完成率=（实际产出数/计划产出数）×100.</w:t>
      </w:r>
      <w:r>
        <w:rPr>
          <w:rFonts w:hint="eastAsia" w:cs="Times New Roman"/>
          <w:color w:val="auto"/>
          <w:lang w:val="en-US" w:eastAsia="zh-CN"/>
        </w:rPr>
        <w:t>0</w:t>
      </w:r>
      <w:r>
        <w:rPr>
          <w:rFonts w:hint="eastAsia" w:ascii="Times New Roman" w:hAnsi="Times New Roman" w:cs="Times New Roman"/>
          <w:color w:val="auto"/>
          <w:lang w:val="en-US" w:eastAsia="zh-CN"/>
        </w:rPr>
        <w:t>0%</w:t>
      </w:r>
      <w:r>
        <w:rPr>
          <w:rFonts w:hint="eastAsia" w:cs="Times New Roman"/>
          <w:color w:val="auto"/>
          <w:lang w:val="en-US" w:eastAsia="zh-CN"/>
        </w:rPr>
        <w:t>=（23/24）</w:t>
      </w:r>
      <w:r>
        <w:rPr>
          <w:rFonts w:hint="eastAsia" w:ascii="Times New Roman" w:hAnsi="Times New Roman" w:cs="Times New Roman"/>
          <w:color w:val="auto"/>
          <w:lang w:val="en-US" w:eastAsia="zh-CN"/>
        </w:rPr>
        <w:t>×100.</w:t>
      </w:r>
      <w:r>
        <w:rPr>
          <w:rFonts w:hint="eastAsia" w:cs="Times New Roman"/>
          <w:color w:val="auto"/>
          <w:lang w:val="en-US" w:eastAsia="zh-CN"/>
        </w:rPr>
        <w:t>0</w:t>
      </w:r>
      <w:r>
        <w:rPr>
          <w:rFonts w:hint="eastAsia" w:ascii="Times New Roman" w:hAnsi="Times New Roman" w:cs="Times New Roman"/>
          <w:color w:val="auto"/>
          <w:lang w:val="en-US" w:eastAsia="zh-CN"/>
        </w:rPr>
        <w:t>0%</w:t>
      </w:r>
      <w:r>
        <w:rPr>
          <w:rFonts w:hint="eastAsia" w:cs="Times New Roman"/>
          <w:color w:val="auto"/>
          <w:lang w:val="en-US" w:eastAsia="zh-CN"/>
        </w:rPr>
        <w:t>=95.83%</w:t>
      </w:r>
      <w:r>
        <w:rPr>
          <w:rFonts w:hint="default" w:ascii="Times New Roman" w:hAnsi="Times New Roman" w:cs="Times New Roman"/>
          <w:color w:val="auto"/>
          <w:lang w:val="zh-TW" w:eastAsia="zh-CN"/>
        </w:rPr>
        <w:t>。</w:t>
      </w:r>
    </w:p>
    <w:p w14:paraId="6B78B75B">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lang w:val="en-US" w:eastAsia="zh-CN"/>
        </w:rPr>
      </w:pPr>
      <w:r>
        <w:rPr>
          <w:rFonts w:hint="eastAsia" w:cs="Times New Roman"/>
          <w:color w:val="auto"/>
          <w:lang w:val="en-US" w:eastAsia="zh-CN"/>
        </w:rPr>
        <w:t>得分=（实际完成率-60%）/（1-60%）×权重分值=89.58%×6.00=5.37</w:t>
      </w:r>
      <w:r>
        <w:rPr>
          <w:rFonts w:hint="default" w:ascii="Times New Roman" w:hAnsi="Times New Roman" w:cs="Times New Roman"/>
          <w:color w:val="auto"/>
        </w:rPr>
        <w:t>分</w:t>
      </w:r>
    </w:p>
    <w:p w14:paraId="157AF1A5">
      <w:pPr>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w:t>
      </w:r>
      <w:r>
        <w:rPr>
          <w:rFonts w:hint="default" w:ascii="Times New Roman" w:hAnsi="Times New Roman" w:cs="Times New Roman"/>
          <w:color w:val="auto"/>
          <w:lang w:val="en-US" w:eastAsia="zh-CN"/>
        </w:rPr>
        <w:t>6</w:t>
      </w:r>
      <w:r>
        <w:rPr>
          <w:rFonts w:hint="default" w:ascii="Times New Roman" w:hAnsi="Times New Roman" w:cs="Times New Roman"/>
          <w:color w:val="auto"/>
        </w:rPr>
        <w:t>.00分，根据评分标准得</w:t>
      </w:r>
      <w:r>
        <w:rPr>
          <w:rFonts w:hint="eastAsia" w:cs="Times New Roman"/>
          <w:color w:val="auto"/>
          <w:lang w:val="en-US" w:eastAsia="zh-CN"/>
        </w:rPr>
        <w:t>5.37</w:t>
      </w:r>
      <w:r>
        <w:rPr>
          <w:rFonts w:hint="default" w:ascii="Times New Roman" w:hAnsi="Times New Roman" w:cs="Times New Roman"/>
          <w:color w:val="auto"/>
        </w:rPr>
        <w:t>分。</w:t>
      </w:r>
    </w:p>
    <w:p w14:paraId="6E6F6F9F">
      <w:pPr>
        <w:spacing w:line="360" w:lineRule="auto"/>
        <w:ind w:left="420" w:leftChars="200" w:firstLine="0" w:firstLineChars="0"/>
        <w:rPr>
          <w:rFonts w:hint="default" w:ascii="Times New Roman" w:hAnsi="Times New Roman" w:cs="Times New Roman"/>
          <w:b/>
          <w:bCs/>
          <w:color w:val="auto"/>
        </w:rPr>
      </w:pPr>
      <w:r>
        <w:rPr>
          <w:rFonts w:hint="default" w:ascii="Times New Roman" w:hAnsi="Times New Roman" w:cs="Times New Roman"/>
          <w:b/>
          <w:bCs/>
          <w:color w:val="auto"/>
        </w:rPr>
        <w:t>（3）C31</w:t>
      </w:r>
      <w:r>
        <w:rPr>
          <w:rFonts w:hint="default" w:ascii="Times New Roman" w:hAnsi="Times New Roman" w:cs="Times New Roman"/>
          <w:b/>
          <w:bCs/>
          <w:color w:val="auto"/>
          <w:lang w:eastAsia="zh-CN"/>
        </w:rPr>
        <w:t>助学金发放及时率</w:t>
      </w:r>
      <w:r>
        <w:rPr>
          <w:rFonts w:hint="default" w:ascii="Times New Roman" w:hAnsi="Times New Roman" w:cs="Times New Roman"/>
          <w:b/>
          <w:bCs/>
          <w:color w:val="auto"/>
        </w:rPr>
        <w:t>指标：</w:t>
      </w:r>
    </w:p>
    <w:p w14:paraId="30E20630">
      <w:pPr>
        <w:pageBreakBefore w:val="0"/>
        <w:kinsoku/>
        <w:wordWrap/>
        <w:overflowPunct/>
        <w:topLinePunct w:val="0"/>
        <w:autoSpaceDE/>
        <w:autoSpaceDN/>
        <w:bidi w:val="0"/>
        <w:snapToGrid w:val="0"/>
        <w:spacing w:line="360" w:lineRule="auto"/>
        <w:ind w:firstLine="420" w:firstLineChars="0"/>
        <w:jc w:val="left"/>
        <w:rPr>
          <w:rFonts w:hint="eastAsia"/>
          <w:b w:val="0"/>
          <w:bCs w:val="0"/>
          <w:color w:val="auto"/>
          <w:lang w:val="en-US" w:eastAsia="zh-CN"/>
        </w:rPr>
      </w:pPr>
      <w:r>
        <w:rPr>
          <w:rFonts w:hint="default" w:ascii="Times New Roman" w:hAnsi="Times New Roman" w:cs="Times New Roman"/>
          <w:color w:val="auto"/>
          <w:lang w:val="zh-TW" w:eastAsia="zh-CN"/>
        </w:rPr>
        <w:t>根据《“福彩圆梦·孤儿助学工程”项目实施暂行办法》（民办发〔2019〕24号）要求：“孤儿助学金</w:t>
      </w:r>
      <w:r>
        <w:rPr>
          <w:rFonts w:hint="default" w:cs="Times New Roman"/>
          <w:color w:val="auto"/>
          <w:lang w:val="zh-TW" w:eastAsia="zh-CN"/>
        </w:rPr>
        <w:t>按月或按季度</w:t>
      </w:r>
      <w:r>
        <w:rPr>
          <w:rFonts w:hint="default" w:ascii="Times New Roman" w:hAnsi="Times New Roman" w:cs="Times New Roman"/>
          <w:color w:val="auto"/>
          <w:lang w:val="zh-TW" w:eastAsia="zh-CN"/>
        </w:rPr>
        <w:t>补助”。经查看</w:t>
      </w:r>
      <w:r>
        <w:rPr>
          <w:rFonts w:hint="default" w:cs="Times New Roman"/>
          <w:color w:val="auto"/>
          <w:lang w:val="zh-TW" w:eastAsia="zh-CN"/>
        </w:rPr>
        <w:t>孤儿助学金发放明细及财务支出凭证</w:t>
      </w:r>
      <w:r>
        <w:rPr>
          <w:rFonts w:hint="eastAsia" w:cs="Times New Roman"/>
          <w:color w:val="auto"/>
          <w:lang w:val="en-US" w:eastAsia="zh-CN"/>
        </w:rPr>
        <w:t>可知，</w:t>
      </w:r>
      <w:r>
        <w:rPr>
          <w:rFonts w:hint="default" w:ascii="Times New Roman" w:hAnsi="Times New Roman" w:cs="Times New Roman"/>
          <w:color w:val="auto"/>
          <w:lang w:val="en-US" w:eastAsia="zh-CN"/>
        </w:rPr>
        <w:t>项目</w:t>
      </w:r>
      <w:r>
        <w:rPr>
          <w:rFonts w:hint="eastAsia" w:cs="Times New Roman"/>
          <w:color w:val="auto"/>
          <w:lang w:val="en-US" w:eastAsia="zh-CN"/>
        </w:rPr>
        <w:t>2024年度第一、二季度共计发放</w:t>
      </w:r>
      <w:r>
        <w:rPr>
          <w:rFonts w:hint="eastAsia" w:ascii="Times New Roman" w:hAnsi="Times New Roman" w:cs="Times New Roman"/>
          <w:color w:val="auto"/>
          <w:lang w:val="en-US" w:eastAsia="zh-CN"/>
        </w:rPr>
        <w:t>补助</w:t>
      </w:r>
      <w:r>
        <w:rPr>
          <w:rFonts w:hint="default" w:ascii="Times New Roman" w:hAnsi="Times New Roman" w:cs="Times New Roman"/>
          <w:color w:val="auto"/>
          <w:lang w:val="en-US" w:eastAsia="zh-CN"/>
        </w:rPr>
        <w:t>资金</w:t>
      </w:r>
      <w:r>
        <w:rPr>
          <w:rFonts w:hint="eastAsia" w:cs="Times New Roman"/>
          <w:color w:val="auto"/>
          <w:lang w:val="en-US" w:eastAsia="zh-CN"/>
        </w:rPr>
        <w:t>10.00万元，存在</w:t>
      </w:r>
      <w:r>
        <w:rPr>
          <w:rFonts w:hint="default" w:ascii="Times New Roman" w:hAnsi="Times New Roman" w:cs="Times New Roman"/>
          <w:color w:val="auto"/>
          <w:lang w:val="en-US" w:eastAsia="zh-CN"/>
        </w:rPr>
        <w:t>未按要求</w:t>
      </w:r>
      <w:r>
        <w:rPr>
          <w:rFonts w:hint="eastAsia" w:cs="Times New Roman"/>
          <w:color w:val="auto"/>
          <w:lang w:val="en-US" w:eastAsia="zh-CN"/>
        </w:rPr>
        <w:t>按季度及时发放补助</w:t>
      </w:r>
      <w:r>
        <w:rPr>
          <w:rFonts w:hint="default" w:ascii="Times New Roman" w:hAnsi="Times New Roman" w:cs="Times New Roman"/>
          <w:color w:val="auto"/>
          <w:lang w:val="en-US" w:eastAsia="zh-CN"/>
        </w:rPr>
        <w:t>，</w:t>
      </w:r>
      <w:r>
        <w:rPr>
          <w:rFonts w:hint="eastAsia" w:cs="Times New Roman"/>
          <w:color w:val="auto"/>
          <w:lang w:val="en-US" w:eastAsia="zh-CN"/>
        </w:rPr>
        <w:t>其中：第一季度应发13名孤儿的助学金3.25万元实际于2024年5月发放，第二季度应发13名孤儿的助学金3.25万元实际于2024年7月发放，第一、第二季度应发7名孤儿的助学金3.50万元实际于2024年8月一次性补发；2024年第</w:t>
      </w:r>
      <w:r>
        <w:rPr>
          <w:rFonts w:hint="eastAsia" w:ascii="Times New Roman" w:hAnsi="Times New Roman" w:cs="Times New Roman"/>
          <w:color w:val="auto"/>
          <w:lang w:val="en-US" w:eastAsia="zh-CN"/>
        </w:rPr>
        <w:t>三、四季度</w:t>
      </w:r>
      <w:r>
        <w:rPr>
          <w:rFonts w:hint="eastAsia" w:cs="Times New Roman"/>
          <w:color w:val="auto"/>
          <w:lang w:val="en-US" w:eastAsia="zh-CN"/>
        </w:rPr>
        <w:t>应发24名孤儿的助学金</w:t>
      </w:r>
      <w:r>
        <w:rPr>
          <w:rFonts w:hint="eastAsia" w:ascii="Times New Roman" w:hAnsi="Times New Roman" w:cs="Times New Roman"/>
          <w:color w:val="auto"/>
          <w:lang w:val="en-US" w:eastAsia="zh-CN"/>
        </w:rPr>
        <w:t>8.00万元按</w:t>
      </w:r>
      <w:r>
        <w:rPr>
          <w:rFonts w:hint="eastAsia" w:cs="Times New Roman"/>
          <w:color w:val="auto"/>
          <w:lang w:val="en-US" w:eastAsia="zh-CN"/>
        </w:rPr>
        <w:t>季度及时完成</w:t>
      </w:r>
      <w:r>
        <w:rPr>
          <w:rFonts w:hint="default" w:ascii="Times New Roman" w:hAnsi="Times New Roman" w:cs="Times New Roman"/>
          <w:color w:val="auto"/>
          <w:lang w:val="en-US" w:eastAsia="zh-CN"/>
        </w:rPr>
        <w:t>发放补助</w:t>
      </w:r>
      <w:r>
        <w:rPr>
          <w:rFonts w:hint="eastAsia" w:cs="Times New Roman"/>
          <w:color w:val="auto"/>
          <w:lang w:val="en-US" w:eastAsia="zh-CN"/>
        </w:rPr>
        <w:t>，</w:t>
      </w:r>
      <w:r>
        <w:rPr>
          <w:rFonts w:hint="default" w:cs="Times New Roman"/>
          <w:color w:val="auto"/>
          <w:lang w:val="zh-TW" w:eastAsia="zh-CN"/>
        </w:rPr>
        <w:t>助学金</w:t>
      </w:r>
      <w:r>
        <w:rPr>
          <w:rFonts w:hint="default"/>
          <w:color w:val="auto"/>
          <w:lang w:val="zh-TW" w:eastAsia="zh-CN"/>
        </w:rPr>
        <w:t>发放</w:t>
      </w:r>
      <w:r>
        <w:rPr>
          <w:rFonts w:hint="default"/>
          <w:color w:val="auto"/>
          <w:lang w:val="zh-TW"/>
        </w:rPr>
        <w:t>明细</w:t>
      </w:r>
      <w:r>
        <w:rPr>
          <w:rFonts w:hint="default"/>
          <w:color w:val="auto"/>
          <w:lang w:val="zh-TW" w:eastAsia="zh-CN"/>
        </w:rPr>
        <w:t>详</w:t>
      </w:r>
      <w:r>
        <w:rPr>
          <w:rFonts w:hint="default"/>
          <w:b w:val="0"/>
          <w:bCs w:val="0"/>
          <w:color w:val="auto"/>
          <w:lang w:val="zh-TW" w:eastAsia="zh-CN"/>
        </w:rPr>
        <w:t>见</w:t>
      </w:r>
      <w:r>
        <w:rPr>
          <w:rFonts w:hint="eastAsia"/>
          <w:b w:val="0"/>
          <w:bCs w:val="0"/>
          <w:color w:val="auto"/>
          <w:lang w:val="zh-TW" w:eastAsia="zh-CN"/>
        </w:rPr>
        <w:t>“</w:t>
      </w:r>
      <w:r>
        <w:rPr>
          <w:rFonts w:hint="default"/>
          <w:b w:val="0"/>
          <w:bCs w:val="0"/>
          <w:color w:val="auto"/>
          <w:lang w:val="zh-TW" w:eastAsia="zh-CN"/>
        </w:rPr>
        <w:t>基础表3伊宁县“福彩圆梦 孤儿助学工程”资金发放明细表</w:t>
      </w:r>
      <w:r>
        <w:rPr>
          <w:rFonts w:hint="eastAsia"/>
          <w:b w:val="0"/>
          <w:bCs w:val="0"/>
          <w:color w:val="auto"/>
          <w:lang w:val="zh-TW" w:eastAsia="zh-CN"/>
        </w:rPr>
        <w:t>”</w:t>
      </w:r>
      <w:r>
        <w:rPr>
          <w:rFonts w:hint="eastAsia"/>
          <w:b w:val="0"/>
          <w:bCs w:val="0"/>
          <w:color w:val="auto"/>
          <w:lang w:val="en-US" w:eastAsia="zh-CN"/>
        </w:rPr>
        <w:t>。</w:t>
      </w:r>
    </w:p>
    <w:p w14:paraId="26AB3F78">
      <w:pPr>
        <w:pageBreakBefore w:val="0"/>
        <w:kinsoku/>
        <w:wordWrap/>
        <w:overflowPunct/>
        <w:topLinePunct w:val="0"/>
        <w:autoSpaceDE/>
        <w:autoSpaceDN/>
        <w:bidi w:val="0"/>
        <w:snapToGrid w:val="0"/>
        <w:spacing w:line="360" w:lineRule="auto"/>
        <w:ind w:firstLine="420" w:firstLineChars="0"/>
        <w:jc w:val="left"/>
        <w:rPr>
          <w:rFonts w:hint="default" w:ascii="Times New Roman" w:hAnsi="Times New Roman" w:cs="Times New Roman"/>
          <w:color w:val="auto"/>
          <w:lang w:val="zh-TW" w:eastAsia="zh-CN"/>
        </w:rPr>
      </w:pPr>
      <w:r>
        <w:rPr>
          <w:rFonts w:hint="default" w:ascii="Times New Roman" w:hAnsi="Times New Roman" w:cs="Times New Roman"/>
          <w:color w:val="auto"/>
          <w:lang w:val="zh-TW" w:eastAsia="zh-CN"/>
        </w:rPr>
        <w:t>助学金发放及时率=按时发放助学总额/计划发放助学金总额=8.00/18.00=44.44%</w:t>
      </w:r>
      <w:r>
        <w:rPr>
          <w:rFonts w:hint="default" w:cs="Times New Roman"/>
          <w:color w:val="auto"/>
          <w:lang w:val="zh-TW" w:eastAsia="zh-CN"/>
        </w:rPr>
        <w:t>。</w:t>
      </w:r>
      <w:r>
        <w:rPr>
          <w:rFonts w:hint="default" w:ascii="Times New Roman" w:hAnsi="Times New Roman" w:cs="Times New Roman"/>
          <w:color w:val="auto"/>
          <w:lang w:val="zh-TW" w:eastAsia="zh-CN"/>
        </w:rPr>
        <w:t>根据评分标准，</w:t>
      </w:r>
      <w:r>
        <w:rPr>
          <w:rFonts w:hint="default" w:ascii="Times New Roman" w:hAnsi="Times New Roman" w:eastAsia="宋体" w:cs="Times New Roman"/>
          <w:color w:val="auto"/>
          <w:kern w:val="0"/>
          <w:sz w:val="20"/>
          <w:szCs w:val="20"/>
          <w:lang w:val="en-US" w:eastAsia="zh-CN" w:bidi="ar"/>
        </w:rPr>
        <w:t>若完成率&lt;60</w:t>
      </w:r>
      <w:r>
        <w:rPr>
          <w:rFonts w:hint="eastAsia" w:eastAsia="宋体" w:cs="Times New Roman"/>
          <w:color w:val="auto"/>
          <w:kern w:val="0"/>
          <w:sz w:val="20"/>
          <w:szCs w:val="20"/>
          <w:lang w:val="en-US" w:eastAsia="zh-CN" w:bidi="ar"/>
        </w:rPr>
        <w:t>.00</w:t>
      </w:r>
      <w:r>
        <w:rPr>
          <w:rFonts w:hint="default" w:ascii="Times New Roman" w:hAnsi="Times New Roman" w:eastAsia="宋体" w:cs="Times New Roman"/>
          <w:color w:val="auto"/>
          <w:kern w:val="0"/>
          <w:sz w:val="20"/>
          <w:szCs w:val="20"/>
          <w:lang w:val="en-US" w:eastAsia="zh-CN" w:bidi="ar"/>
        </w:rPr>
        <w:t>%，</w:t>
      </w:r>
      <w:r>
        <w:rPr>
          <w:rFonts w:hint="default" w:cs="Times New Roman"/>
          <w:color w:val="auto"/>
          <w:lang w:val="zh-TW" w:eastAsia="zh-CN"/>
        </w:rPr>
        <w:t>不得分。</w:t>
      </w:r>
    </w:p>
    <w:p w14:paraId="2EE4F620">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lang w:val="zh-TW" w:eastAsia="zh-CN"/>
        </w:rPr>
      </w:pPr>
      <w:r>
        <w:rPr>
          <w:rFonts w:hint="default" w:ascii="Times New Roman" w:hAnsi="Times New Roman" w:cs="Times New Roman"/>
          <w:color w:val="auto"/>
          <w:lang w:val="zh-TW" w:eastAsia="zh-CN"/>
        </w:rPr>
        <w:t>该指标满分为</w:t>
      </w:r>
      <w:r>
        <w:rPr>
          <w:rFonts w:hint="default" w:ascii="Times New Roman" w:hAnsi="Times New Roman" w:cs="Times New Roman"/>
          <w:color w:val="auto"/>
          <w:lang w:val="en-US" w:eastAsia="zh-CN"/>
        </w:rPr>
        <w:t>5</w:t>
      </w:r>
      <w:r>
        <w:rPr>
          <w:rFonts w:hint="default" w:ascii="Times New Roman" w:hAnsi="Times New Roman" w:cs="Times New Roman"/>
          <w:color w:val="auto"/>
          <w:lang w:val="zh-TW" w:eastAsia="zh-CN"/>
        </w:rPr>
        <w:t>.00分，根据评分标准得</w:t>
      </w:r>
      <w:r>
        <w:rPr>
          <w:rFonts w:hint="default" w:ascii="Times New Roman" w:hAnsi="Times New Roman" w:cs="Times New Roman"/>
          <w:color w:val="auto"/>
          <w:lang w:val="en-US" w:eastAsia="zh-CN"/>
        </w:rPr>
        <w:t>0</w:t>
      </w:r>
      <w:r>
        <w:rPr>
          <w:rFonts w:hint="default" w:ascii="Times New Roman" w:hAnsi="Times New Roman" w:cs="Times New Roman"/>
          <w:color w:val="auto"/>
          <w:lang w:val="zh-TW" w:eastAsia="zh-CN"/>
        </w:rPr>
        <w:t>.00分。</w:t>
      </w:r>
    </w:p>
    <w:p w14:paraId="3A593D25">
      <w:pPr>
        <w:spacing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（4）C41孤儿资助标准指标：</w:t>
      </w:r>
    </w:p>
    <w:p w14:paraId="39A0B210">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lang w:val="zh-TW" w:eastAsia="zh-CN"/>
        </w:rPr>
      </w:pPr>
      <w:r>
        <w:rPr>
          <w:rFonts w:hint="default" w:ascii="Times New Roman" w:hAnsi="Times New Roman" w:cs="Times New Roman"/>
          <w:color w:val="auto"/>
          <w:lang w:val="zh-TW" w:eastAsia="zh-CN"/>
        </w:rPr>
        <w:t>根据《“福彩圆梦·孤儿助学工程”项目实施暂行办法》（民办发〔2019〕24号）及</w:t>
      </w:r>
      <w:r>
        <w:rPr>
          <w:rFonts w:hint="eastAsia" w:cs="Times New Roman"/>
          <w:color w:val="auto"/>
          <w:lang w:val="en-US" w:eastAsia="zh-CN"/>
        </w:rPr>
        <w:t>2</w:t>
      </w:r>
      <w:r>
        <w:rPr>
          <w:rFonts w:hint="default" w:ascii="Times New Roman" w:hAnsi="Times New Roman" w:cs="Times New Roman"/>
          <w:color w:val="auto"/>
          <w:lang w:val="en-US" w:eastAsia="zh-CN"/>
        </w:rPr>
        <w:t>024年</w:t>
      </w:r>
      <w:r>
        <w:rPr>
          <w:rFonts w:hint="eastAsia" w:cs="Times New Roman"/>
          <w:color w:val="auto"/>
          <w:lang w:val="en-US" w:eastAsia="zh-CN"/>
        </w:rPr>
        <w:t>孤儿认定表、资金发放表、</w:t>
      </w:r>
      <w:r>
        <w:rPr>
          <w:rFonts w:hint="default" w:ascii="Times New Roman" w:hAnsi="Times New Roman" w:cs="Times New Roman"/>
          <w:color w:val="auto"/>
          <w:lang w:val="zh-TW" w:eastAsia="zh-CN"/>
        </w:rPr>
        <w:t>国库集中支付</w:t>
      </w:r>
      <w:r>
        <w:rPr>
          <w:rFonts w:hint="eastAsia" w:cs="Times New Roman"/>
          <w:color w:val="auto"/>
          <w:lang w:val="en-US" w:eastAsia="zh-CN"/>
        </w:rPr>
        <w:t>凭证等</w:t>
      </w:r>
      <w:r>
        <w:rPr>
          <w:rFonts w:hint="default" w:ascii="Times New Roman" w:hAnsi="Times New Roman" w:cs="Times New Roman"/>
          <w:color w:val="auto"/>
          <w:lang w:val="zh-TW" w:eastAsia="zh-CN"/>
        </w:rPr>
        <w:t>资料可知，</w:t>
      </w:r>
      <w:r>
        <w:rPr>
          <w:rFonts w:hint="default" w:ascii="Times New Roman" w:hAnsi="Times New Roman" w:cs="Times New Roman"/>
          <w:color w:val="auto"/>
          <w:lang w:val="en-US" w:eastAsia="zh-CN"/>
        </w:rPr>
        <w:t>为</w:t>
      </w:r>
      <w:r>
        <w:rPr>
          <w:rFonts w:hint="eastAsia" w:ascii="Times New Roman" w:hAnsi="Times New Roman" w:cs="Times New Roman"/>
          <w:color w:val="auto"/>
          <w:lang w:val="en-US" w:eastAsia="zh-CN"/>
        </w:rPr>
        <w:t>处于学业稳定期的</w:t>
      </w:r>
      <w:r>
        <w:rPr>
          <w:rFonts w:hint="default" w:ascii="Times New Roman" w:hAnsi="Times New Roman" w:cs="Times New Roman"/>
          <w:color w:val="auto"/>
          <w:lang w:val="en-US" w:eastAsia="zh-CN"/>
        </w:rPr>
        <w:t>12名</w:t>
      </w:r>
      <w:r>
        <w:rPr>
          <w:rFonts w:hint="eastAsia" w:ascii="Times New Roman" w:hAnsi="Times New Roman" w:cs="Times New Roman"/>
          <w:color w:val="auto"/>
          <w:lang w:val="en-US" w:eastAsia="zh-CN"/>
        </w:rPr>
        <w:t>非新生、非毕业生的</w:t>
      </w:r>
      <w:r>
        <w:rPr>
          <w:rFonts w:hint="default" w:ascii="Times New Roman" w:hAnsi="Times New Roman" w:cs="Times New Roman"/>
          <w:color w:val="auto"/>
          <w:lang w:val="en-US" w:eastAsia="zh-CN"/>
        </w:rPr>
        <w:t>孤儿发放一学年</w:t>
      </w:r>
      <w:r>
        <w:rPr>
          <w:rFonts w:hint="default" w:ascii="Times New Roman" w:hAnsi="Times New Roman" w:cs="Times New Roman"/>
          <w:color w:val="auto"/>
          <w:lang w:eastAsia="zh-CN"/>
        </w:rPr>
        <w:t>助学补助金</w:t>
      </w:r>
      <w:r>
        <w:rPr>
          <w:rFonts w:hint="eastAsia" w:ascii="Times New Roman" w:hAnsi="Times New Roman" w:cs="Times New Roman"/>
          <w:color w:val="auto"/>
          <w:lang w:eastAsia="zh-CN"/>
        </w:rPr>
        <w:t>，</w:t>
      </w:r>
      <w:r>
        <w:rPr>
          <w:rFonts w:hint="eastAsia" w:ascii="Times New Roman" w:hAnsi="Times New Roman" w:cs="Times New Roman"/>
          <w:color w:val="auto"/>
          <w:lang w:val="en-US" w:eastAsia="zh-CN"/>
        </w:rPr>
        <w:t>按照每人每学年1.00万元的标准，共计发放</w:t>
      </w:r>
      <w:r>
        <w:rPr>
          <w:rFonts w:hint="default" w:ascii="Times New Roman" w:hAnsi="Times New Roman" w:cs="Times New Roman"/>
          <w:color w:val="auto"/>
          <w:lang w:val="en-US" w:eastAsia="zh-CN"/>
        </w:rPr>
        <w:t>12.00万元</w:t>
      </w:r>
      <w:r>
        <w:rPr>
          <w:rFonts w:hint="eastAsia" w:cs="Times New Roman"/>
          <w:color w:val="auto"/>
          <w:lang w:val="en-US" w:eastAsia="zh-CN"/>
        </w:rPr>
        <w:t>；为</w:t>
      </w:r>
      <w:r>
        <w:rPr>
          <w:rFonts w:hint="eastAsia" w:ascii="Times New Roman" w:hAnsi="Times New Roman" w:cs="Times New Roman"/>
          <w:color w:val="auto"/>
          <w:lang w:val="en-US" w:eastAsia="zh-CN"/>
        </w:rPr>
        <w:t>1名</w:t>
      </w:r>
      <w:r>
        <w:rPr>
          <w:rFonts w:hint="eastAsia" w:cs="Times New Roman"/>
          <w:color w:val="auto"/>
          <w:lang w:val="en-US" w:eastAsia="zh-CN"/>
        </w:rPr>
        <w:t>未满18周岁</w:t>
      </w:r>
      <w:r>
        <w:rPr>
          <w:rFonts w:hint="eastAsia" w:ascii="Times New Roman" w:hAnsi="Times New Roman" w:cs="Times New Roman"/>
          <w:color w:val="auto"/>
          <w:lang w:val="en-US" w:eastAsia="zh-CN"/>
        </w:rPr>
        <w:t>正常顺延学位的孤儿按照每人每学年1.00万元的标准，发放半学年</w:t>
      </w:r>
      <w:r>
        <w:rPr>
          <w:rFonts w:hint="eastAsia" w:ascii="Times New Roman" w:hAnsi="Times New Roman" w:cs="Times New Roman"/>
          <w:color w:val="auto"/>
          <w:lang w:eastAsia="zh-CN"/>
        </w:rPr>
        <w:t>助学补助金</w:t>
      </w:r>
      <w:r>
        <w:rPr>
          <w:rFonts w:hint="eastAsia" w:cs="Times New Roman"/>
          <w:color w:val="auto"/>
          <w:lang w:val="en-US" w:eastAsia="zh-CN"/>
        </w:rPr>
        <w:t>0.5</w:t>
      </w:r>
      <w:r>
        <w:rPr>
          <w:rFonts w:hint="eastAsia" w:ascii="Times New Roman" w:hAnsi="Times New Roman" w:cs="Times New Roman"/>
          <w:color w:val="auto"/>
          <w:lang w:val="en-US" w:eastAsia="zh-CN"/>
        </w:rPr>
        <w:t>0万元</w:t>
      </w:r>
      <w:r>
        <w:rPr>
          <w:rFonts w:hint="eastAsia" w:cs="Times New Roman"/>
          <w:color w:val="auto"/>
          <w:lang w:val="en-US" w:eastAsia="zh-CN"/>
        </w:rPr>
        <w:t>；</w:t>
      </w:r>
      <w:r>
        <w:rPr>
          <w:rFonts w:hint="default" w:ascii="Times New Roman" w:hAnsi="Times New Roman" w:cs="Times New Roman"/>
          <w:color w:val="auto"/>
          <w:lang w:val="en-US" w:eastAsia="zh-CN"/>
        </w:rPr>
        <w:t>为1</w:t>
      </w:r>
      <w:r>
        <w:rPr>
          <w:rFonts w:hint="eastAsia" w:cs="Times New Roman"/>
          <w:color w:val="auto"/>
          <w:lang w:val="en-US" w:eastAsia="zh-CN"/>
        </w:rPr>
        <w:t>1</w:t>
      </w:r>
      <w:r>
        <w:rPr>
          <w:rFonts w:hint="default" w:ascii="Times New Roman" w:hAnsi="Times New Roman" w:cs="Times New Roman"/>
          <w:color w:val="auto"/>
          <w:lang w:val="en-US" w:eastAsia="zh-CN"/>
        </w:rPr>
        <w:t>名孤儿为毕业生、新生</w:t>
      </w:r>
      <w:r>
        <w:rPr>
          <w:rFonts w:hint="eastAsia" w:ascii="Times New Roman" w:hAnsi="Times New Roman" w:cs="Times New Roman"/>
          <w:color w:val="auto"/>
          <w:lang w:val="en-US" w:eastAsia="zh-CN"/>
        </w:rPr>
        <w:t>按照每人每学年1.00万元的标准</w:t>
      </w:r>
      <w:r>
        <w:rPr>
          <w:rFonts w:hint="eastAsia" w:cs="Times New Roman"/>
          <w:color w:val="auto"/>
          <w:lang w:val="en-US" w:eastAsia="zh-CN"/>
        </w:rPr>
        <w:t>，</w:t>
      </w:r>
      <w:r>
        <w:rPr>
          <w:rFonts w:hint="default" w:ascii="Times New Roman" w:hAnsi="Times New Roman" w:cs="Times New Roman"/>
          <w:color w:val="auto"/>
          <w:lang w:val="en-US" w:eastAsia="zh-CN"/>
        </w:rPr>
        <w:t>发放半学年</w:t>
      </w:r>
      <w:r>
        <w:rPr>
          <w:rFonts w:hint="default" w:ascii="Times New Roman" w:hAnsi="Times New Roman" w:cs="Times New Roman"/>
          <w:color w:val="auto"/>
          <w:lang w:eastAsia="zh-CN"/>
        </w:rPr>
        <w:t>助学补助金</w:t>
      </w:r>
      <w:r>
        <w:rPr>
          <w:rFonts w:hint="eastAsia" w:cs="Times New Roman"/>
          <w:color w:val="auto"/>
          <w:lang w:val="en-US" w:eastAsia="zh-CN"/>
        </w:rPr>
        <w:t>5.5</w:t>
      </w:r>
      <w:r>
        <w:rPr>
          <w:rFonts w:hint="default" w:ascii="Times New Roman" w:hAnsi="Times New Roman" w:cs="Times New Roman"/>
          <w:color w:val="auto"/>
          <w:lang w:val="en-US" w:eastAsia="zh-CN"/>
        </w:rPr>
        <w:t>0万元</w:t>
      </w:r>
      <w:r>
        <w:rPr>
          <w:rFonts w:hint="default" w:ascii="Times New Roman" w:hAnsi="Times New Roman" w:cs="Times New Roman"/>
          <w:color w:val="auto"/>
          <w:lang w:val="zh-TW" w:eastAsia="zh-CN"/>
        </w:rPr>
        <w:t>，达到预期目标。</w:t>
      </w:r>
    </w:p>
    <w:p w14:paraId="47CC99E3">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lang w:val="zh-TW" w:eastAsia="zh-CN"/>
        </w:rPr>
      </w:pPr>
      <w:r>
        <w:rPr>
          <w:rFonts w:hint="default" w:ascii="Times New Roman" w:hAnsi="Times New Roman" w:cs="Times New Roman"/>
          <w:color w:val="auto"/>
          <w:lang w:val="zh-TW" w:eastAsia="zh-CN"/>
        </w:rPr>
        <w:t>该指标满分为10.00分，根据评分标准得10.00分。</w:t>
      </w:r>
    </w:p>
    <w:p w14:paraId="64A8D045">
      <w:pPr>
        <w:pStyle w:val="5"/>
        <w:pageBreakBefore w:val="0"/>
        <w:kinsoku/>
        <w:wordWrap/>
        <w:overflowPunct/>
        <w:topLinePunct w:val="0"/>
        <w:autoSpaceDE/>
        <w:autoSpaceDN/>
        <w:bidi w:val="0"/>
        <w:snapToGrid w:val="0"/>
        <w:spacing w:line="360" w:lineRule="auto"/>
        <w:ind w:firstLine="482"/>
        <w:rPr>
          <w:rFonts w:hint="default" w:ascii="Times New Roman" w:hAnsi="Times New Roman" w:cs="Times New Roman"/>
          <w:color w:val="auto"/>
        </w:rPr>
      </w:pPr>
      <w:bookmarkStart w:id="75" w:name="_Toc27117"/>
      <w:r>
        <w:rPr>
          <w:rFonts w:hint="default" w:ascii="Times New Roman" w:hAnsi="Times New Roman" w:cs="Times New Roman"/>
          <w:color w:val="auto"/>
        </w:rPr>
        <w:t>（四）项目效益情况</w:t>
      </w:r>
      <w:bookmarkEnd w:id="75"/>
    </w:p>
    <w:p w14:paraId="046E3A31">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项目效益指标由2个二级和3个三级指标构成，权重分值35.00分，实际得分35.00分，得分率为100.00%。各指标业绩值和绩效分值如下表所示：</w:t>
      </w:r>
    </w:p>
    <w:p w14:paraId="1C5AC2D9">
      <w:pPr>
        <w:pageBreakBefore w:val="0"/>
        <w:kinsoku/>
        <w:wordWrap/>
        <w:overflowPunct/>
        <w:topLinePunct w:val="0"/>
        <w:autoSpaceDE/>
        <w:autoSpaceDN/>
        <w:bidi w:val="0"/>
        <w:snapToGrid w:val="0"/>
        <w:spacing w:line="360" w:lineRule="auto"/>
        <w:ind w:firstLine="0" w:firstLineChars="0"/>
        <w:jc w:val="center"/>
        <w:rPr>
          <w:rFonts w:ascii="Times New Roman" w:hAnsi="Times New Roman" w:cs="Times New Roman"/>
          <w:b/>
          <w:bCs/>
          <w:color w:val="auto"/>
        </w:rPr>
      </w:pPr>
      <w:r>
        <w:rPr>
          <w:rFonts w:ascii="Times New Roman" w:hAnsi="Times New Roman" w:cs="Times New Roman"/>
          <w:b/>
          <w:bCs/>
          <w:color w:val="auto"/>
        </w:rPr>
        <w:t>表</w:t>
      </w:r>
      <w:r>
        <w:rPr>
          <w:rFonts w:hint="default" w:ascii="Times New Roman" w:hAnsi="Times New Roman" w:cs="Times New Roman"/>
          <w:b/>
          <w:bCs/>
          <w:color w:val="auto"/>
          <w:lang w:val="en-US" w:eastAsia="zh-CN"/>
        </w:rPr>
        <w:t>5</w:t>
      </w:r>
      <w:r>
        <w:rPr>
          <w:rFonts w:ascii="Times New Roman" w:hAnsi="Times New Roman" w:cs="Times New Roman"/>
          <w:b/>
          <w:bCs/>
          <w:color w:val="auto"/>
        </w:rPr>
        <w:t>-4：项目效益指标及分值</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1030"/>
        <w:gridCol w:w="1104"/>
        <w:gridCol w:w="2012"/>
        <w:gridCol w:w="834"/>
        <w:gridCol w:w="1103"/>
        <w:gridCol w:w="752"/>
        <w:gridCol w:w="683"/>
        <w:gridCol w:w="890"/>
      </w:tblGrid>
      <w:tr w14:paraId="713F5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blHeader/>
          <w:jc w:val="center"/>
        </w:trPr>
        <w:tc>
          <w:tcPr>
            <w:tcW w:w="617" w:type="pct"/>
            <w:vAlign w:val="center"/>
          </w:tcPr>
          <w:p w14:paraId="4188BA72">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b/>
                <w:color w:val="auto"/>
                <w:sz w:val="21"/>
                <w:szCs w:val="21"/>
              </w:rPr>
            </w:pPr>
            <w:r>
              <w:rPr>
                <w:rFonts w:hint="default" w:ascii="Times New Roman" w:hAnsi="Times New Roman" w:cs="Times New Roman" w:eastAsiaTheme="minorEastAsia"/>
                <w:b/>
                <w:color w:val="auto"/>
                <w:kern w:val="0"/>
                <w:sz w:val="21"/>
                <w:szCs w:val="21"/>
                <w:lang w:bidi="ar"/>
              </w:rPr>
              <w:t>一级指标</w:t>
            </w:r>
          </w:p>
        </w:tc>
        <w:tc>
          <w:tcPr>
            <w:tcW w:w="661" w:type="pct"/>
            <w:vAlign w:val="center"/>
          </w:tcPr>
          <w:p w14:paraId="11756636">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b/>
                <w:color w:val="auto"/>
                <w:sz w:val="21"/>
                <w:szCs w:val="21"/>
              </w:rPr>
            </w:pPr>
            <w:r>
              <w:rPr>
                <w:rFonts w:hint="default" w:ascii="Times New Roman" w:hAnsi="Times New Roman" w:cs="Times New Roman" w:eastAsiaTheme="minorEastAsia"/>
                <w:b/>
                <w:color w:val="auto"/>
                <w:kern w:val="0"/>
                <w:sz w:val="21"/>
                <w:szCs w:val="21"/>
                <w:lang w:bidi="ar"/>
              </w:rPr>
              <w:t>二级指标</w:t>
            </w:r>
          </w:p>
        </w:tc>
        <w:tc>
          <w:tcPr>
            <w:tcW w:w="1201" w:type="pct"/>
            <w:vAlign w:val="center"/>
          </w:tcPr>
          <w:p w14:paraId="4FF5115A">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b/>
                <w:color w:val="auto"/>
                <w:sz w:val="21"/>
                <w:szCs w:val="21"/>
              </w:rPr>
            </w:pPr>
            <w:r>
              <w:rPr>
                <w:rFonts w:hint="default" w:ascii="Times New Roman" w:hAnsi="Times New Roman" w:cs="Times New Roman" w:eastAsiaTheme="minorEastAsia"/>
                <w:b/>
                <w:color w:val="auto"/>
                <w:kern w:val="0"/>
                <w:sz w:val="21"/>
                <w:szCs w:val="21"/>
                <w:lang w:bidi="ar"/>
              </w:rPr>
              <w:t>三级指标</w:t>
            </w:r>
          </w:p>
        </w:tc>
        <w:tc>
          <w:tcPr>
            <w:tcW w:w="500" w:type="pct"/>
            <w:vAlign w:val="center"/>
          </w:tcPr>
          <w:p w14:paraId="27FB67F3">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b/>
                <w:color w:val="auto"/>
                <w:sz w:val="21"/>
                <w:szCs w:val="21"/>
              </w:rPr>
            </w:pPr>
            <w:r>
              <w:rPr>
                <w:rFonts w:hint="default" w:ascii="Times New Roman" w:hAnsi="Times New Roman" w:cs="Times New Roman" w:eastAsiaTheme="minorEastAsia"/>
                <w:b/>
                <w:color w:val="auto"/>
                <w:kern w:val="0"/>
                <w:sz w:val="21"/>
                <w:szCs w:val="21"/>
                <w:lang w:bidi="ar"/>
              </w:rPr>
              <w:t>目标值</w:t>
            </w:r>
          </w:p>
        </w:tc>
        <w:tc>
          <w:tcPr>
            <w:tcW w:w="660" w:type="pct"/>
            <w:vAlign w:val="center"/>
          </w:tcPr>
          <w:p w14:paraId="43D4F6AB">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b/>
                <w:color w:val="auto"/>
                <w:kern w:val="0"/>
                <w:sz w:val="21"/>
                <w:szCs w:val="21"/>
                <w:lang w:bidi="ar"/>
              </w:rPr>
            </w:pPr>
            <w:r>
              <w:rPr>
                <w:rFonts w:hint="default" w:ascii="Times New Roman" w:hAnsi="Times New Roman" w:cs="Times New Roman" w:eastAsiaTheme="minorEastAsia"/>
                <w:b/>
                <w:color w:val="auto"/>
                <w:kern w:val="0"/>
                <w:sz w:val="21"/>
                <w:szCs w:val="21"/>
                <w:lang w:bidi="ar"/>
              </w:rPr>
              <w:t>实际完成值</w:t>
            </w:r>
          </w:p>
        </w:tc>
        <w:tc>
          <w:tcPr>
            <w:tcW w:w="451" w:type="pct"/>
            <w:vAlign w:val="center"/>
          </w:tcPr>
          <w:p w14:paraId="0E443B05">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b/>
                <w:color w:val="auto"/>
                <w:sz w:val="21"/>
                <w:szCs w:val="21"/>
              </w:rPr>
            </w:pPr>
            <w:r>
              <w:rPr>
                <w:rFonts w:hint="default" w:ascii="Times New Roman" w:hAnsi="Times New Roman" w:cs="Times New Roman" w:eastAsiaTheme="minorEastAsia"/>
                <w:b/>
                <w:color w:val="auto"/>
                <w:kern w:val="0"/>
                <w:sz w:val="21"/>
                <w:szCs w:val="21"/>
                <w:lang w:bidi="ar"/>
              </w:rPr>
              <w:t>权重</w:t>
            </w:r>
          </w:p>
        </w:tc>
        <w:tc>
          <w:tcPr>
            <w:tcW w:w="410" w:type="pct"/>
            <w:vAlign w:val="center"/>
          </w:tcPr>
          <w:p w14:paraId="7BF15F6B">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b/>
                <w:color w:val="auto"/>
                <w:sz w:val="21"/>
                <w:szCs w:val="21"/>
              </w:rPr>
            </w:pPr>
            <w:r>
              <w:rPr>
                <w:rFonts w:hint="default" w:ascii="Times New Roman" w:hAnsi="Times New Roman" w:cs="Times New Roman" w:eastAsiaTheme="minorEastAsia"/>
                <w:b/>
                <w:color w:val="auto"/>
                <w:kern w:val="0"/>
                <w:sz w:val="21"/>
                <w:szCs w:val="21"/>
                <w:lang w:bidi="ar"/>
              </w:rPr>
              <w:t>得分</w:t>
            </w:r>
          </w:p>
        </w:tc>
        <w:tc>
          <w:tcPr>
            <w:tcW w:w="498" w:type="pct"/>
            <w:vAlign w:val="center"/>
          </w:tcPr>
          <w:p w14:paraId="17046958">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b/>
                <w:color w:val="auto"/>
                <w:kern w:val="0"/>
                <w:sz w:val="21"/>
                <w:szCs w:val="21"/>
                <w:lang w:bidi="ar"/>
              </w:rPr>
            </w:pPr>
            <w:r>
              <w:rPr>
                <w:rFonts w:hint="default" w:ascii="Times New Roman" w:hAnsi="Times New Roman" w:cs="Times New Roman" w:eastAsiaTheme="minorEastAsia"/>
                <w:b/>
                <w:color w:val="auto"/>
                <w:kern w:val="0"/>
                <w:sz w:val="21"/>
                <w:szCs w:val="21"/>
                <w:lang w:bidi="ar"/>
              </w:rPr>
              <w:t>得分率</w:t>
            </w:r>
          </w:p>
        </w:tc>
      </w:tr>
      <w:tr w14:paraId="0F22C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1038" w:type="dxa"/>
            <w:vMerge w:val="restart"/>
            <w:vAlign w:val="center"/>
          </w:tcPr>
          <w:p w14:paraId="1276DD3E">
            <w:pPr>
              <w:widowControl/>
              <w:spacing w:line="240" w:lineRule="auto"/>
              <w:ind w:firstLine="0" w:firstLineChars="0"/>
              <w:jc w:val="left"/>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D效益</w:t>
            </w:r>
          </w:p>
          <w:p w14:paraId="53C815AB">
            <w:pPr>
              <w:widowControl/>
              <w:spacing w:line="240" w:lineRule="auto"/>
              <w:ind w:firstLine="0" w:firstLineChars="0"/>
              <w:jc w:val="left"/>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rPr>
              <w:t>（35.00分）</w:t>
            </w:r>
          </w:p>
        </w:tc>
        <w:tc>
          <w:tcPr>
            <w:tcW w:w="1112" w:type="dxa"/>
            <w:vMerge w:val="restart"/>
            <w:vAlign w:val="center"/>
          </w:tcPr>
          <w:p w14:paraId="51B0AD75">
            <w:pPr>
              <w:widowControl/>
              <w:spacing w:line="240" w:lineRule="auto"/>
              <w:ind w:firstLine="0" w:firstLineChars="0"/>
              <w:jc w:val="left"/>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rPr>
              <w:t>D1社会效益指标</w:t>
            </w:r>
          </w:p>
        </w:tc>
        <w:tc>
          <w:tcPr>
            <w:tcW w:w="2020" w:type="dxa"/>
            <w:vAlign w:val="center"/>
          </w:tcPr>
          <w:p w14:paraId="1B7018DA">
            <w:pPr>
              <w:widowControl/>
              <w:spacing w:line="240" w:lineRule="auto"/>
              <w:ind w:firstLine="0" w:firstLineChars="0"/>
              <w:jc w:val="left"/>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rPr>
              <w:t>D11孤儿学生完学率提升</w:t>
            </w:r>
          </w:p>
        </w:tc>
        <w:tc>
          <w:tcPr>
            <w:tcW w:w="841" w:type="dxa"/>
            <w:vAlign w:val="center"/>
          </w:tcPr>
          <w:p w14:paraId="44F261D2">
            <w:pPr>
              <w:widowControl/>
              <w:spacing w:line="240" w:lineRule="auto"/>
              <w:ind w:firstLine="0" w:firstLineChars="0"/>
              <w:jc w:val="center"/>
              <w:rPr>
                <w:rFonts w:hint="default" w:ascii="Times New Roman" w:hAnsi="Times New Roman" w:cs="Times New Roman" w:eastAsiaTheme="minorEastAsia"/>
                <w:color w:val="auto"/>
                <w:sz w:val="21"/>
                <w:szCs w:val="21"/>
              </w:rPr>
            </w:pPr>
            <w:r>
              <w:rPr>
                <w:rFonts w:hint="default" w:ascii="Times New Roman" w:hAnsi="Times New Roman" w:cs="Times New Roman"/>
                <w:color w:val="auto"/>
              </w:rPr>
              <w:t>有效提升</w:t>
            </w:r>
          </w:p>
        </w:tc>
        <w:tc>
          <w:tcPr>
            <w:tcW w:w="1110" w:type="dxa"/>
            <w:vAlign w:val="center"/>
          </w:tcPr>
          <w:p w14:paraId="25B8D6EC">
            <w:pPr>
              <w:widowControl/>
              <w:spacing w:line="240" w:lineRule="auto"/>
              <w:ind w:firstLine="0" w:firstLineChars="0"/>
              <w:jc w:val="center"/>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rPr>
              <w:t>基本达成目标</w:t>
            </w:r>
          </w:p>
        </w:tc>
        <w:tc>
          <w:tcPr>
            <w:tcW w:w="759" w:type="dxa"/>
            <w:vAlign w:val="center"/>
          </w:tcPr>
          <w:p w14:paraId="2CC97C10">
            <w:pPr>
              <w:widowControl/>
              <w:spacing w:line="240" w:lineRule="auto"/>
              <w:ind w:firstLine="0" w:firstLineChars="0"/>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rPr>
              <w:t xml:space="preserve">11.00 </w:t>
            </w:r>
          </w:p>
        </w:tc>
        <w:tc>
          <w:tcPr>
            <w:tcW w:w="690" w:type="dxa"/>
            <w:vAlign w:val="center"/>
          </w:tcPr>
          <w:p w14:paraId="36CF1DFD">
            <w:pPr>
              <w:widowControl/>
              <w:spacing w:line="240" w:lineRule="auto"/>
              <w:ind w:firstLine="0" w:firstLineChars="0"/>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rPr>
              <w:t xml:space="preserve">11.00 </w:t>
            </w:r>
          </w:p>
        </w:tc>
        <w:tc>
          <w:tcPr>
            <w:tcW w:w="838" w:type="dxa"/>
            <w:vAlign w:val="center"/>
          </w:tcPr>
          <w:p w14:paraId="01E00455">
            <w:pPr>
              <w:widowControl/>
              <w:spacing w:line="240" w:lineRule="auto"/>
              <w:ind w:firstLine="0" w:firstLineChars="0"/>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rPr>
              <w:t>100.00%</w:t>
            </w:r>
          </w:p>
        </w:tc>
      </w:tr>
      <w:tr w14:paraId="04291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1038" w:type="dxa"/>
            <w:vMerge w:val="continue"/>
            <w:vAlign w:val="center"/>
          </w:tcPr>
          <w:p w14:paraId="25ACB59D">
            <w:pPr>
              <w:widowControl/>
              <w:spacing w:line="240" w:lineRule="auto"/>
              <w:ind w:firstLine="0" w:firstLineChars="0"/>
              <w:jc w:val="left"/>
              <w:rPr>
                <w:rFonts w:hint="default" w:ascii="Times New Roman" w:hAnsi="Times New Roman" w:cs="Times New Roman" w:eastAsiaTheme="minorEastAsia"/>
                <w:color w:val="auto"/>
                <w:sz w:val="21"/>
                <w:szCs w:val="21"/>
              </w:rPr>
            </w:pPr>
          </w:p>
        </w:tc>
        <w:tc>
          <w:tcPr>
            <w:tcW w:w="1112" w:type="dxa"/>
            <w:vMerge w:val="continue"/>
            <w:vAlign w:val="center"/>
          </w:tcPr>
          <w:p w14:paraId="1D644507">
            <w:pPr>
              <w:widowControl/>
              <w:spacing w:line="240" w:lineRule="auto"/>
              <w:ind w:firstLine="0" w:firstLineChars="0"/>
              <w:jc w:val="left"/>
              <w:rPr>
                <w:rFonts w:hint="default" w:ascii="Times New Roman" w:hAnsi="Times New Roman" w:cs="Times New Roman" w:eastAsiaTheme="minorEastAsia"/>
                <w:color w:val="auto"/>
                <w:sz w:val="21"/>
                <w:szCs w:val="21"/>
              </w:rPr>
            </w:pPr>
          </w:p>
        </w:tc>
        <w:tc>
          <w:tcPr>
            <w:tcW w:w="2020" w:type="dxa"/>
            <w:vAlign w:val="center"/>
          </w:tcPr>
          <w:p w14:paraId="44DBA0C1">
            <w:pPr>
              <w:widowControl/>
              <w:spacing w:line="240" w:lineRule="auto"/>
              <w:ind w:firstLine="0" w:firstLineChars="0"/>
              <w:jc w:val="left"/>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rPr>
              <w:t>D12孤儿教育水平提升情况</w:t>
            </w:r>
          </w:p>
        </w:tc>
        <w:tc>
          <w:tcPr>
            <w:tcW w:w="841" w:type="dxa"/>
            <w:vAlign w:val="center"/>
          </w:tcPr>
          <w:p w14:paraId="440F60A5">
            <w:pPr>
              <w:widowControl/>
              <w:spacing w:line="240" w:lineRule="auto"/>
              <w:ind w:firstLine="0" w:firstLineChars="0"/>
              <w:jc w:val="center"/>
              <w:rPr>
                <w:rFonts w:hint="default" w:ascii="Times New Roman" w:hAnsi="Times New Roman" w:cs="Times New Roman" w:eastAsiaTheme="minorEastAsia"/>
                <w:color w:val="auto"/>
                <w:sz w:val="21"/>
                <w:szCs w:val="21"/>
              </w:rPr>
            </w:pPr>
            <w:r>
              <w:rPr>
                <w:rFonts w:hint="default" w:ascii="Times New Roman" w:hAnsi="Times New Roman" w:cs="Times New Roman"/>
                <w:color w:val="auto"/>
              </w:rPr>
              <w:t>有效提升</w:t>
            </w:r>
          </w:p>
        </w:tc>
        <w:tc>
          <w:tcPr>
            <w:tcW w:w="1110" w:type="dxa"/>
            <w:vAlign w:val="center"/>
          </w:tcPr>
          <w:p w14:paraId="2489BEC2">
            <w:pPr>
              <w:widowControl/>
              <w:spacing w:line="240" w:lineRule="auto"/>
              <w:ind w:firstLine="0" w:firstLineChars="0"/>
              <w:jc w:val="center"/>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rPr>
              <w:t>基本达成目标</w:t>
            </w:r>
          </w:p>
        </w:tc>
        <w:tc>
          <w:tcPr>
            <w:tcW w:w="759" w:type="dxa"/>
            <w:vAlign w:val="center"/>
          </w:tcPr>
          <w:p w14:paraId="7A25646E">
            <w:pPr>
              <w:widowControl/>
              <w:spacing w:line="240" w:lineRule="auto"/>
              <w:ind w:firstLine="0" w:firstLineChars="0"/>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rPr>
              <w:t xml:space="preserve">9.00 </w:t>
            </w:r>
          </w:p>
        </w:tc>
        <w:tc>
          <w:tcPr>
            <w:tcW w:w="690" w:type="dxa"/>
            <w:vAlign w:val="center"/>
          </w:tcPr>
          <w:p w14:paraId="70632BF5">
            <w:pPr>
              <w:widowControl/>
              <w:spacing w:line="240" w:lineRule="auto"/>
              <w:ind w:firstLine="0" w:firstLineChars="0"/>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rPr>
              <w:t xml:space="preserve">9.00 </w:t>
            </w:r>
          </w:p>
        </w:tc>
        <w:tc>
          <w:tcPr>
            <w:tcW w:w="838" w:type="dxa"/>
            <w:vAlign w:val="center"/>
          </w:tcPr>
          <w:p w14:paraId="1D159870">
            <w:pPr>
              <w:widowControl/>
              <w:spacing w:line="240" w:lineRule="auto"/>
              <w:ind w:firstLine="0" w:firstLineChars="0"/>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rPr>
              <w:t>100.00%</w:t>
            </w:r>
          </w:p>
        </w:tc>
      </w:tr>
      <w:tr w14:paraId="5EFBB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1038" w:type="dxa"/>
            <w:vMerge w:val="continue"/>
            <w:vAlign w:val="center"/>
          </w:tcPr>
          <w:p w14:paraId="2BF89AAF">
            <w:pPr>
              <w:widowControl/>
              <w:spacing w:line="240" w:lineRule="auto"/>
              <w:ind w:firstLine="0" w:firstLineChars="0"/>
              <w:jc w:val="left"/>
              <w:rPr>
                <w:rFonts w:hint="default" w:ascii="Times New Roman" w:hAnsi="Times New Roman" w:cs="Times New Roman" w:eastAsiaTheme="minorEastAsia"/>
                <w:color w:val="auto"/>
                <w:sz w:val="21"/>
                <w:szCs w:val="21"/>
              </w:rPr>
            </w:pPr>
          </w:p>
        </w:tc>
        <w:tc>
          <w:tcPr>
            <w:tcW w:w="1112" w:type="dxa"/>
            <w:vAlign w:val="center"/>
          </w:tcPr>
          <w:p w14:paraId="492B5187">
            <w:pPr>
              <w:widowControl/>
              <w:spacing w:line="240" w:lineRule="auto"/>
              <w:ind w:firstLine="0" w:firstLineChars="0"/>
              <w:jc w:val="left"/>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rPr>
              <w:t>D2服务对象满意度指标</w:t>
            </w:r>
          </w:p>
        </w:tc>
        <w:tc>
          <w:tcPr>
            <w:tcW w:w="2020" w:type="dxa"/>
            <w:vAlign w:val="center"/>
          </w:tcPr>
          <w:p w14:paraId="7796F28A">
            <w:pPr>
              <w:widowControl/>
              <w:spacing w:line="240" w:lineRule="auto"/>
              <w:ind w:firstLine="0" w:firstLineChars="0"/>
              <w:jc w:val="left"/>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rPr>
              <w:t>D21受助孤儿满意度</w:t>
            </w:r>
          </w:p>
        </w:tc>
        <w:tc>
          <w:tcPr>
            <w:tcW w:w="841" w:type="dxa"/>
            <w:vAlign w:val="center"/>
          </w:tcPr>
          <w:p w14:paraId="26C74944">
            <w:pPr>
              <w:widowControl/>
              <w:spacing w:line="240" w:lineRule="auto"/>
              <w:ind w:firstLine="0" w:firstLineChars="0"/>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rPr>
              <w:t>≥90%</w:t>
            </w:r>
          </w:p>
        </w:tc>
        <w:tc>
          <w:tcPr>
            <w:tcW w:w="1110" w:type="dxa"/>
            <w:vAlign w:val="center"/>
          </w:tcPr>
          <w:p w14:paraId="5C91863B">
            <w:pPr>
              <w:widowControl/>
              <w:spacing w:line="240" w:lineRule="auto"/>
              <w:ind w:firstLine="0" w:firstLineChars="0"/>
              <w:jc w:val="center"/>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lang w:val="en-US" w:eastAsia="zh-CN"/>
              </w:rPr>
              <w:t>97.79</w:t>
            </w:r>
            <w:r>
              <w:rPr>
                <w:rFonts w:hint="default" w:ascii="Times New Roman" w:hAnsi="Times New Roman" w:cs="Times New Roman" w:eastAsiaTheme="minorEastAsia"/>
                <w:color w:val="auto"/>
              </w:rPr>
              <w:t>%</w:t>
            </w:r>
          </w:p>
        </w:tc>
        <w:tc>
          <w:tcPr>
            <w:tcW w:w="759" w:type="dxa"/>
            <w:vAlign w:val="center"/>
          </w:tcPr>
          <w:p w14:paraId="72CEBC06">
            <w:pPr>
              <w:widowControl/>
              <w:spacing w:line="240" w:lineRule="auto"/>
              <w:ind w:firstLine="0" w:firstLineChars="0"/>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rPr>
              <w:t xml:space="preserve">15.00 </w:t>
            </w:r>
          </w:p>
        </w:tc>
        <w:tc>
          <w:tcPr>
            <w:tcW w:w="690" w:type="dxa"/>
            <w:vAlign w:val="center"/>
          </w:tcPr>
          <w:p w14:paraId="28FC58B3">
            <w:pPr>
              <w:widowControl/>
              <w:spacing w:line="240" w:lineRule="auto"/>
              <w:ind w:firstLine="0" w:firstLineChars="0"/>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rPr>
              <w:t xml:space="preserve">15.00 </w:t>
            </w:r>
          </w:p>
        </w:tc>
        <w:tc>
          <w:tcPr>
            <w:tcW w:w="838" w:type="dxa"/>
            <w:vAlign w:val="center"/>
          </w:tcPr>
          <w:p w14:paraId="012AC34A">
            <w:pPr>
              <w:widowControl/>
              <w:spacing w:line="240" w:lineRule="auto"/>
              <w:ind w:firstLine="0" w:firstLineChars="0"/>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rPr>
              <w:t>100.00%</w:t>
            </w:r>
          </w:p>
        </w:tc>
      </w:tr>
      <w:tr w14:paraId="0B4B7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4170" w:type="dxa"/>
            <w:gridSpan w:val="3"/>
            <w:vAlign w:val="center"/>
          </w:tcPr>
          <w:p w14:paraId="5B7F4987">
            <w:pPr>
              <w:widowControl/>
              <w:spacing w:line="240" w:lineRule="auto"/>
              <w:ind w:firstLine="0" w:firstLineChars="0"/>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b/>
                <w:bCs/>
                <w:color w:val="auto"/>
              </w:rPr>
              <w:t>合计</w:t>
            </w:r>
          </w:p>
        </w:tc>
        <w:tc>
          <w:tcPr>
            <w:tcW w:w="841" w:type="dxa"/>
            <w:vAlign w:val="center"/>
          </w:tcPr>
          <w:p w14:paraId="5AC9BCEE">
            <w:pPr>
              <w:spacing w:line="240" w:lineRule="auto"/>
              <w:ind w:firstLine="420" w:firstLineChars="200"/>
              <w:jc w:val="center"/>
              <w:rPr>
                <w:rFonts w:hint="default" w:ascii="Times New Roman" w:hAnsi="Times New Roman" w:cs="Times New Roman" w:eastAsiaTheme="minorEastAsia"/>
                <w:color w:val="auto"/>
                <w:sz w:val="21"/>
                <w:szCs w:val="21"/>
              </w:rPr>
            </w:pPr>
          </w:p>
        </w:tc>
        <w:tc>
          <w:tcPr>
            <w:tcW w:w="1110" w:type="dxa"/>
            <w:vAlign w:val="center"/>
          </w:tcPr>
          <w:p w14:paraId="5E51082F">
            <w:pPr>
              <w:spacing w:line="240" w:lineRule="auto"/>
              <w:ind w:firstLine="420" w:firstLineChars="200"/>
              <w:jc w:val="center"/>
              <w:rPr>
                <w:rFonts w:hint="default" w:ascii="Times New Roman" w:hAnsi="Times New Roman" w:cs="Times New Roman" w:eastAsiaTheme="minorEastAsia"/>
                <w:color w:val="auto"/>
                <w:sz w:val="21"/>
                <w:szCs w:val="21"/>
                <w:lang w:val="en-US" w:eastAsia="zh-CN"/>
              </w:rPr>
            </w:pPr>
          </w:p>
        </w:tc>
        <w:tc>
          <w:tcPr>
            <w:tcW w:w="759" w:type="dxa"/>
            <w:vAlign w:val="center"/>
          </w:tcPr>
          <w:p w14:paraId="6CE0464C">
            <w:pPr>
              <w:widowControl/>
              <w:spacing w:line="240" w:lineRule="auto"/>
              <w:ind w:firstLine="0" w:firstLineChars="0"/>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b/>
                <w:bCs/>
                <w:color w:val="auto"/>
              </w:rPr>
              <w:t xml:space="preserve">35.00 </w:t>
            </w:r>
          </w:p>
        </w:tc>
        <w:tc>
          <w:tcPr>
            <w:tcW w:w="690" w:type="dxa"/>
            <w:vAlign w:val="center"/>
          </w:tcPr>
          <w:p w14:paraId="67E7A0BE">
            <w:pPr>
              <w:widowControl/>
              <w:spacing w:line="240" w:lineRule="auto"/>
              <w:ind w:firstLine="0" w:firstLineChars="0"/>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b/>
                <w:bCs/>
                <w:color w:val="auto"/>
              </w:rPr>
              <w:t xml:space="preserve">35.00 </w:t>
            </w:r>
          </w:p>
        </w:tc>
        <w:tc>
          <w:tcPr>
            <w:tcW w:w="838" w:type="dxa"/>
            <w:vAlign w:val="center"/>
          </w:tcPr>
          <w:p w14:paraId="10D26C8C">
            <w:pPr>
              <w:widowControl/>
              <w:spacing w:line="240" w:lineRule="auto"/>
              <w:ind w:firstLine="0" w:firstLineChars="0"/>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b/>
                <w:bCs/>
                <w:color w:val="auto"/>
              </w:rPr>
              <w:t>100.00%</w:t>
            </w:r>
          </w:p>
        </w:tc>
      </w:tr>
    </w:tbl>
    <w:p w14:paraId="7AC2FA9F">
      <w:pPr>
        <w:pageBreakBefore w:val="0"/>
        <w:kinsoku/>
        <w:wordWrap/>
        <w:overflowPunct/>
        <w:topLinePunct w:val="0"/>
        <w:autoSpaceDE/>
        <w:autoSpaceDN/>
        <w:bidi w:val="0"/>
        <w:snapToGrid w:val="0"/>
        <w:spacing w:line="360" w:lineRule="auto"/>
        <w:ind w:firstLine="422"/>
        <w:rPr>
          <w:rFonts w:ascii="Times New Roman" w:hAnsi="Times New Roman" w:eastAsia="宋体" w:cs="Times New Roman"/>
          <w:b/>
          <w:bCs/>
          <w:color w:val="auto"/>
        </w:rPr>
      </w:pPr>
    </w:p>
    <w:p w14:paraId="065E506F">
      <w:pPr>
        <w:pageBreakBefore w:val="0"/>
        <w:kinsoku/>
        <w:wordWrap/>
        <w:overflowPunct/>
        <w:topLinePunct w:val="0"/>
        <w:autoSpaceDE/>
        <w:autoSpaceDN/>
        <w:bidi w:val="0"/>
        <w:snapToGrid w:val="0"/>
        <w:spacing w:line="360" w:lineRule="auto"/>
        <w:ind w:firstLine="422"/>
        <w:rPr>
          <w:rFonts w:hint="default" w:ascii="Times New Roman" w:hAnsi="Times New Roman" w:cs="Times New Roman"/>
          <w:color w:val="auto"/>
        </w:rPr>
      </w:pPr>
      <w:r>
        <w:rPr>
          <w:rFonts w:hint="default" w:ascii="Times New Roman" w:hAnsi="Times New Roman" w:cs="Times New Roman" w:eastAsiaTheme="minorEastAsia"/>
          <w:b/>
          <w:bCs/>
          <w:color w:val="auto"/>
        </w:rPr>
        <w:t>指标得分分析</w:t>
      </w:r>
      <w:r>
        <w:rPr>
          <w:rFonts w:hint="default" w:ascii="Times New Roman" w:hAnsi="Times New Roman" w:cs="Times New Roman"/>
          <w:b/>
          <w:bCs/>
          <w:color w:val="auto"/>
        </w:rPr>
        <w:t>：</w:t>
      </w:r>
    </w:p>
    <w:p w14:paraId="335BF830">
      <w:pPr>
        <w:widowControl/>
        <w:numPr>
          <w:ilvl w:val="0"/>
          <w:numId w:val="0"/>
        </w:numPr>
        <w:adjustRightInd/>
        <w:snapToGrid/>
        <w:spacing w:line="360" w:lineRule="auto"/>
        <w:ind w:firstLine="422" w:firstLineChars="200"/>
        <w:rPr>
          <w:rFonts w:ascii="Times New Roman" w:hAnsi="Times New Roman" w:cs="Times New Roman"/>
          <w:color w:val="auto"/>
        </w:rPr>
      </w:pPr>
      <w:bookmarkStart w:id="76" w:name="_Toc30458"/>
      <w:r>
        <w:rPr>
          <w:rFonts w:ascii="Times New Roman" w:hAnsi="Times New Roman" w:cs="Times New Roman" w:eastAsiaTheme="minorEastAsia"/>
          <w:b/>
          <w:bCs/>
          <w:color w:val="auto"/>
          <w:kern w:val="2"/>
          <w:sz w:val="21"/>
          <w:szCs w:val="21"/>
          <w:lang w:val="en-US" w:eastAsia="zh-CN" w:bidi="ar-SA"/>
        </w:rPr>
        <w:t>（1）</w:t>
      </w:r>
      <w:r>
        <w:rPr>
          <w:rFonts w:hint="default" w:ascii="Times New Roman" w:hAnsi="Times New Roman" w:cs="Times New Roman"/>
          <w:b/>
          <w:bCs/>
          <w:color w:val="auto"/>
        </w:rPr>
        <w:t>D11孤儿学生完学率</w:t>
      </w:r>
      <w:r>
        <w:rPr>
          <w:rFonts w:hint="default" w:ascii="Times New Roman" w:hAnsi="Times New Roman" w:cs="Times New Roman" w:eastAsiaTheme="minorEastAsia"/>
          <w:b/>
          <w:bCs/>
          <w:color w:val="auto"/>
        </w:rPr>
        <w:t>提升</w:t>
      </w:r>
      <w:r>
        <w:rPr>
          <w:rFonts w:hint="default" w:ascii="Times New Roman" w:hAnsi="Times New Roman" w:cs="Times New Roman"/>
          <w:b/>
          <w:bCs/>
          <w:color w:val="auto"/>
        </w:rPr>
        <w:t>指标：</w:t>
      </w:r>
    </w:p>
    <w:p w14:paraId="3AC3D32A">
      <w:pPr>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该效益指标主要采用比较法，绩效评价组分别查询了</w:t>
      </w:r>
      <w:r>
        <w:rPr>
          <w:rFonts w:hint="default" w:ascii="Times New Roman" w:hAnsi="Times New Roman" w:cs="Times New Roman"/>
          <w:color w:val="auto"/>
          <w:lang w:val="en-US" w:eastAsia="zh-CN"/>
        </w:rPr>
        <w:t>24</w:t>
      </w:r>
      <w:r>
        <w:rPr>
          <w:rFonts w:hint="default" w:ascii="Times New Roman" w:hAnsi="Times New Roman" w:cs="Times New Roman"/>
          <w:color w:val="auto"/>
        </w:rPr>
        <w:t>名孤儿所在学校的学费情况，经过对比，实际发放的助学金可以覆盖年度学费，且还有多余部分，可以有效</w:t>
      </w:r>
      <w:r>
        <w:rPr>
          <w:rFonts w:hint="default" w:ascii="Times New Roman" w:hAnsi="Times New Roman" w:cs="Times New Roman" w:eastAsiaTheme="minorEastAsia"/>
          <w:color w:val="auto"/>
        </w:rPr>
        <w:t>提升</w:t>
      </w:r>
      <w:r>
        <w:rPr>
          <w:rFonts w:hint="default" w:ascii="Times New Roman" w:hAnsi="Times New Roman" w:cs="Times New Roman"/>
          <w:color w:val="auto"/>
        </w:rPr>
        <w:t>在校孤儿学生的完学率。</w:t>
      </w:r>
    </w:p>
    <w:p w14:paraId="172900BD">
      <w:pPr>
        <w:widowControl/>
        <w:adjustRightInd/>
        <w:snapToGrid/>
        <w:spacing w:line="360" w:lineRule="auto"/>
        <w:ind w:firstLine="640" w:firstLineChars="0"/>
        <w:rPr>
          <w:rFonts w:hint="default" w:ascii="Times New Roman" w:hAnsi="Times New Roman" w:cs="Times New Roman"/>
          <w:color w:val="auto"/>
        </w:rPr>
      </w:pPr>
      <w:r>
        <w:rPr>
          <w:rFonts w:hint="default" w:ascii="Times New Roman" w:hAnsi="Times New Roman" w:cs="Times New Roman"/>
          <w:color w:val="auto"/>
        </w:rPr>
        <w:t>该指标满分为11.00分，根据评分标准得11.00分。</w:t>
      </w:r>
    </w:p>
    <w:p w14:paraId="54CCCD0A">
      <w:pPr>
        <w:numPr>
          <w:ilvl w:val="0"/>
          <w:numId w:val="0"/>
        </w:numPr>
        <w:spacing w:line="360" w:lineRule="auto"/>
        <w:ind w:firstLine="422" w:firstLineChars="200"/>
        <w:rPr>
          <w:rFonts w:hint="default" w:ascii="Times New Roman" w:hAnsi="Times New Roman" w:cs="Times New Roman"/>
          <w:b/>
          <w:bCs/>
          <w:color w:val="auto"/>
        </w:rPr>
      </w:pPr>
      <w:r>
        <w:rPr>
          <w:rFonts w:hint="default" w:ascii="Times New Roman" w:hAnsi="Times New Roman" w:cs="Times New Roman" w:eastAsiaTheme="minorEastAsia"/>
          <w:b/>
          <w:bCs/>
          <w:color w:val="auto"/>
          <w:kern w:val="2"/>
          <w:sz w:val="21"/>
          <w:szCs w:val="21"/>
          <w:lang w:val="en-US" w:eastAsia="zh-CN" w:bidi="ar-SA"/>
        </w:rPr>
        <w:t>（2）</w:t>
      </w:r>
      <w:r>
        <w:rPr>
          <w:rFonts w:hint="default" w:ascii="Times New Roman" w:hAnsi="Times New Roman" w:cs="Times New Roman"/>
          <w:b/>
          <w:bCs/>
          <w:color w:val="auto"/>
        </w:rPr>
        <w:t>D12孤儿教育水平提升情况指标：</w:t>
      </w:r>
    </w:p>
    <w:p w14:paraId="5FB58EA5">
      <w:pPr>
        <w:spacing w:line="360" w:lineRule="auto"/>
        <w:ind w:firstLine="420"/>
        <w:rPr>
          <w:rFonts w:hint="default" w:ascii="Times New Roman" w:hAnsi="Times New Roman" w:cs="Times New Roman"/>
          <w:color w:val="auto"/>
          <w:highlight w:val="none"/>
        </w:rPr>
      </w:pPr>
      <w:r>
        <w:rPr>
          <w:rFonts w:hint="default" w:ascii="Times New Roman" w:hAnsi="Times New Roman" w:cs="Times New Roman"/>
          <w:color w:val="auto"/>
        </w:rPr>
        <w:t>为了解孤儿教育水平提升情况的效益实现程度，评价小组制作《</w:t>
      </w:r>
      <w:r>
        <w:rPr>
          <w:rFonts w:hint="default" w:ascii="Times New Roman" w:hAnsi="Times New Roman" w:cs="Times New Roman"/>
          <w:color w:val="auto"/>
          <w:lang w:eastAsia="zh-CN"/>
        </w:rPr>
        <w:t>伊宁县</w:t>
      </w:r>
      <w:r>
        <w:rPr>
          <w:rFonts w:hint="default" w:ascii="Times New Roman" w:hAnsi="Times New Roman" w:cs="Times New Roman"/>
          <w:color w:val="auto"/>
        </w:rPr>
        <w:t>彩票公益金支持地方社会公益事业发展资金“福彩圆梦 孤儿助学”调研问卷》，向本次领取助学金的</w:t>
      </w:r>
      <w:r>
        <w:rPr>
          <w:rFonts w:hint="default" w:ascii="Times New Roman" w:hAnsi="Times New Roman" w:cs="Times New Roman"/>
          <w:color w:val="auto"/>
          <w:lang w:val="en-US" w:eastAsia="zh-CN"/>
        </w:rPr>
        <w:t>24</w:t>
      </w:r>
      <w:r>
        <w:rPr>
          <w:rFonts w:hint="default" w:ascii="Times New Roman" w:hAnsi="Times New Roman" w:cs="Times New Roman"/>
          <w:color w:val="auto"/>
        </w:rPr>
        <w:t>名孤儿通</w:t>
      </w:r>
      <w:r>
        <w:rPr>
          <w:rFonts w:hint="default" w:ascii="Times New Roman" w:hAnsi="Times New Roman" w:cs="Times New Roman"/>
          <w:color w:val="auto"/>
          <w:highlight w:val="none"/>
        </w:rPr>
        <w:t>过发放线上调查问卷</w:t>
      </w:r>
      <w:r>
        <w:rPr>
          <w:rFonts w:hint="default" w:ascii="Times New Roman" w:hAnsi="Times New Roman" w:cs="Times New Roman"/>
          <w:color w:val="auto"/>
          <w:highlight w:val="none"/>
          <w:lang w:val="en-US" w:eastAsia="zh-CN"/>
        </w:rPr>
        <w:t>24</w:t>
      </w:r>
      <w:r>
        <w:rPr>
          <w:rFonts w:hint="default" w:ascii="Times New Roman" w:hAnsi="Times New Roman" w:cs="Times New Roman"/>
          <w:color w:val="auto"/>
          <w:highlight w:val="none"/>
        </w:rPr>
        <w:t>份，收回有效问卷</w:t>
      </w:r>
      <w:r>
        <w:rPr>
          <w:rFonts w:hint="default" w:ascii="Times New Roman" w:hAnsi="Times New Roman" w:cs="Times New Roman"/>
          <w:color w:val="auto"/>
          <w:highlight w:val="none"/>
          <w:lang w:val="en-US" w:eastAsia="zh-CN"/>
        </w:rPr>
        <w:t>24</w:t>
      </w:r>
      <w:r>
        <w:rPr>
          <w:rFonts w:hint="default" w:ascii="Times New Roman" w:hAnsi="Times New Roman" w:cs="Times New Roman"/>
          <w:color w:val="auto"/>
          <w:highlight w:val="none"/>
        </w:rPr>
        <w:t>份。根据调查问卷反馈结果，孤儿教育水平提升度</w:t>
      </w:r>
      <w:r>
        <w:rPr>
          <w:rFonts w:hint="default" w:ascii="Times New Roman" w:hAnsi="Times New Roman" w:cs="Times New Roman"/>
          <w:color w:val="auto"/>
          <w:highlight w:val="none"/>
          <w:lang w:val="en-US" w:eastAsia="zh-CN"/>
        </w:rPr>
        <w:t>达到100.00%</w:t>
      </w:r>
      <w:r>
        <w:rPr>
          <w:rFonts w:hint="default" w:ascii="Times New Roman" w:hAnsi="Times New Roman" w:cs="Times New Roman"/>
          <w:color w:val="auto"/>
          <w:highlight w:val="none"/>
        </w:rPr>
        <w:t>，根据评价标准，指标完成率大于90.00%，得满分。</w:t>
      </w:r>
    </w:p>
    <w:p w14:paraId="706C971A">
      <w:pPr>
        <w:spacing w:line="360" w:lineRule="auto"/>
        <w:ind w:firstLine="420"/>
        <w:rPr>
          <w:rFonts w:ascii="Times New Roman" w:hAnsi="Times New Roman" w:cs="Times New Roman"/>
          <w:color w:val="auto"/>
          <w:highlight w:val="none"/>
        </w:rPr>
      </w:pPr>
      <w:r>
        <w:rPr>
          <w:rFonts w:hint="default" w:ascii="Times New Roman" w:hAnsi="Times New Roman" w:cs="Times New Roman"/>
          <w:color w:val="auto"/>
          <w:highlight w:val="none"/>
        </w:rPr>
        <w:t>该指标满分为9.00分，根据评分标准得9.00分。</w:t>
      </w:r>
    </w:p>
    <w:p w14:paraId="0B96E3E3">
      <w:pPr>
        <w:spacing w:line="360" w:lineRule="auto"/>
        <w:ind w:firstLine="422"/>
        <w:rPr>
          <w:rFonts w:ascii="Times New Roman" w:hAnsi="Times New Roman" w:cs="Times New Roman"/>
          <w:b/>
          <w:bCs/>
          <w:color w:val="auto"/>
        </w:rPr>
      </w:pPr>
      <w:r>
        <w:rPr>
          <w:rFonts w:hint="default" w:ascii="Times New Roman" w:hAnsi="Times New Roman" w:cs="Times New Roman"/>
          <w:b/>
          <w:bCs/>
          <w:color w:val="auto"/>
        </w:rPr>
        <w:t>（3）D21受助孤儿满意度指标：</w:t>
      </w:r>
    </w:p>
    <w:p w14:paraId="22F8D5EE">
      <w:pPr>
        <w:keepNext w:val="0"/>
        <w:keepLines w:val="0"/>
        <w:pageBreakBefore w:val="0"/>
        <w:widowControl w:val="0"/>
        <w:kinsoku/>
        <w:wordWrap w:val="0"/>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rPr>
      </w:pPr>
      <w:r>
        <w:rPr>
          <w:rFonts w:hint="default" w:ascii="Times New Roman" w:hAnsi="Times New Roman" w:cs="Times New Roman"/>
          <w:color w:val="auto"/>
        </w:rPr>
        <w:t>该效益指标主要采用公众评判法，通过问卷调查方式评价</w:t>
      </w:r>
      <w:r>
        <w:rPr>
          <w:rFonts w:hint="default" w:ascii="Times New Roman" w:hAnsi="Times New Roman" w:cs="Times New Roman"/>
          <w:color w:val="auto"/>
          <w:lang w:val="en-US" w:eastAsia="zh-CN"/>
        </w:rPr>
        <w:t>受助孤儿</w:t>
      </w:r>
      <w:r>
        <w:rPr>
          <w:rFonts w:hint="default" w:ascii="Times New Roman" w:hAnsi="Times New Roman" w:cs="Times New Roman"/>
          <w:color w:val="auto"/>
        </w:rPr>
        <w:t>满意度。本次共发放并收回满意度问卷</w:t>
      </w:r>
      <w:r>
        <w:rPr>
          <w:rFonts w:hint="default" w:ascii="Times New Roman" w:hAnsi="Times New Roman" w:cs="Times New Roman"/>
          <w:color w:val="auto"/>
          <w:lang w:val="en-US" w:eastAsia="zh-CN"/>
        </w:rPr>
        <w:t>24</w:t>
      </w:r>
      <w:r>
        <w:rPr>
          <w:rFonts w:hint="default" w:ascii="Times New Roman" w:hAnsi="Times New Roman" w:cs="Times New Roman"/>
          <w:color w:val="auto"/>
        </w:rPr>
        <w:t>份，根据问卷调查分析报告中“请问您对领到助学金是否满意？”问题，</w:t>
      </w:r>
      <w:r>
        <w:rPr>
          <w:rFonts w:hint="eastAsia" w:cs="Times New Roman"/>
          <w:color w:val="auto"/>
          <w:lang w:val="en-US" w:eastAsia="zh-CN"/>
        </w:rPr>
        <w:t>其中选择“</w:t>
      </w:r>
      <w:r>
        <w:rPr>
          <w:rFonts w:hint="default" w:ascii="Times New Roman" w:hAnsi="Times New Roman" w:cs="Times New Roman"/>
          <w:color w:val="auto"/>
        </w:rPr>
        <w:t>非常满意</w:t>
      </w:r>
      <w:r>
        <w:rPr>
          <w:rFonts w:hint="eastAsia" w:cs="Times New Roman"/>
          <w:color w:val="auto"/>
          <w:lang w:val="en-US" w:eastAsia="zh-CN"/>
        </w:rPr>
        <w:t>”22人，选择“</w:t>
      </w:r>
      <w:r>
        <w:rPr>
          <w:rFonts w:hint="default" w:ascii="Times New Roman" w:hAnsi="Times New Roman" w:cs="Times New Roman"/>
          <w:color w:val="auto"/>
        </w:rPr>
        <w:t>比较满意</w:t>
      </w:r>
      <w:r>
        <w:rPr>
          <w:rFonts w:hint="eastAsia" w:cs="Times New Roman"/>
          <w:color w:val="auto"/>
          <w:lang w:val="en-US" w:eastAsia="zh-CN"/>
        </w:rPr>
        <w:t>”2人，</w:t>
      </w:r>
      <w:r>
        <w:rPr>
          <w:rFonts w:hint="default" w:ascii="Times New Roman" w:hAnsi="Times New Roman" w:cs="Times New Roman"/>
          <w:color w:val="auto"/>
        </w:rPr>
        <w:t>根据满意度问卷统计情况计算完成比率，实际完成值=∑样本数（“非常满意”×1.00+“比较满意”×0.80+“一般”×0.60+“不太满意”×0.30+“不满意”×0.00）/总样本数×100.00%=∑样本数（</w:t>
      </w:r>
      <w:r>
        <w:rPr>
          <w:rFonts w:hint="default" w:ascii="Times New Roman" w:hAnsi="Times New Roman" w:cs="Times New Roman"/>
          <w:color w:val="auto"/>
          <w:lang w:val="en-US" w:eastAsia="zh-CN"/>
        </w:rPr>
        <w:t>22</w:t>
      </w:r>
      <w:r>
        <w:rPr>
          <w:rFonts w:hint="default" w:ascii="Times New Roman" w:hAnsi="Times New Roman" w:cs="Times New Roman"/>
          <w:color w:val="auto"/>
        </w:rPr>
        <w:t>×1</w:t>
      </w:r>
      <w:r>
        <w:rPr>
          <w:rFonts w:hint="eastAsia" w:cs="Times New Roman"/>
          <w:color w:val="auto"/>
          <w:lang w:val="en-US" w:eastAsia="zh-CN"/>
        </w:rPr>
        <w:t>.00</w:t>
      </w:r>
      <w:r>
        <w:rPr>
          <w:rFonts w:hint="default" w:ascii="Times New Roman" w:hAnsi="Times New Roman" w:cs="Times New Roman"/>
          <w:color w:val="auto"/>
        </w:rPr>
        <w:t>+</w:t>
      </w:r>
      <w:r>
        <w:rPr>
          <w:rFonts w:hint="default" w:ascii="Times New Roman" w:hAnsi="Times New Roman" w:cs="Times New Roman"/>
          <w:color w:val="auto"/>
          <w:lang w:val="en-US" w:eastAsia="zh-CN"/>
        </w:rPr>
        <w:t>2</w:t>
      </w:r>
      <w:r>
        <w:rPr>
          <w:rFonts w:hint="default" w:ascii="Times New Roman" w:hAnsi="Times New Roman" w:cs="Times New Roman"/>
          <w:color w:val="auto"/>
        </w:rPr>
        <w:t>×0.8</w:t>
      </w:r>
      <w:r>
        <w:rPr>
          <w:rFonts w:hint="eastAsia" w:cs="Times New Roman"/>
          <w:color w:val="auto"/>
          <w:lang w:val="en-US" w:eastAsia="zh-CN"/>
        </w:rPr>
        <w:t>0</w:t>
      </w:r>
      <w:r>
        <w:rPr>
          <w:rFonts w:hint="default" w:ascii="Times New Roman" w:hAnsi="Times New Roman" w:cs="Times New Roman"/>
          <w:color w:val="auto"/>
        </w:rPr>
        <w:t>）/</w:t>
      </w:r>
      <w:r>
        <w:rPr>
          <w:rFonts w:hint="default" w:ascii="Times New Roman" w:hAnsi="Times New Roman" w:cs="Times New Roman"/>
          <w:color w:val="auto"/>
          <w:lang w:val="en-US" w:eastAsia="zh-CN"/>
        </w:rPr>
        <w:t>24</w:t>
      </w:r>
      <w:r>
        <w:rPr>
          <w:rFonts w:hint="default" w:ascii="Times New Roman" w:hAnsi="Times New Roman" w:cs="Times New Roman"/>
          <w:color w:val="auto"/>
        </w:rPr>
        <w:t>×100</w:t>
      </w:r>
      <w:r>
        <w:rPr>
          <w:rFonts w:hint="eastAsia" w:cs="Times New Roman"/>
          <w:color w:val="auto"/>
          <w:lang w:val="en-US" w:eastAsia="zh-CN"/>
        </w:rPr>
        <w:t>.00</w:t>
      </w:r>
      <w:r>
        <w:rPr>
          <w:rFonts w:hint="default" w:ascii="Times New Roman" w:hAnsi="Times New Roman" w:cs="Times New Roman"/>
          <w:color w:val="auto"/>
        </w:rPr>
        <w:t>%=</w:t>
      </w:r>
      <w:r>
        <w:rPr>
          <w:rFonts w:hint="default" w:ascii="Times New Roman" w:hAnsi="Times New Roman" w:cs="Times New Roman"/>
          <w:color w:val="auto"/>
          <w:lang w:val="en-US" w:eastAsia="zh-CN"/>
        </w:rPr>
        <w:t>98.33</w:t>
      </w:r>
      <w:r>
        <w:rPr>
          <w:rFonts w:hint="default" w:ascii="Times New Roman" w:hAnsi="Times New Roman" w:cs="Times New Roman"/>
          <w:color w:val="auto"/>
        </w:rPr>
        <w:t>%，</w:t>
      </w:r>
      <w:r>
        <w:rPr>
          <w:rFonts w:hint="eastAsia" w:cs="Times New Roman"/>
          <w:color w:val="auto"/>
          <w:lang w:eastAsia="zh-CN"/>
        </w:rPr>
        <w:t>“</w:t>
      </w:r>
      <w:r>
        <w:rPr>
          <w:rFonts w:hint="default" w:ascii="Times New Roman" w:hAnsi="Times New Roman" w:cs="Times New Roman"/>
          <w:color w:val="auto"/>
        </w:rPr>
        <w:t>您认为项目对您（或受助孤儿）的学习和生活帮助程度如何？</w:t>
      </w:r>
      <w:r>
        <w:rPr>
          <w:rFonts w:hint="eastAsia" w:cs="Times New Roman"/>
          <w:color w:val="auto"/>
          <w:lang w:eastAsia="zh-CN"/>
        </w:rPr>
        <w:t>”</w:t>
      </w:r>
      <w:r>
        <w:rPr>
          <w:rFonts w:hint="default" w:ascii="Times New Roman" w:hAnsi="Times New Roman" w:cs="Times New Roman"/>
          <w:color w:val="auto"/>
        </w:rPr>
        <w:t>问题，实际完成值=∑样本数（“非常满意”×1.00+“比较满意”×0.80+“一般”×0.60+“不太满意”×0.30+“不满意”×0.00）/总样本数×100.00%=∑样本数（</w:t>
      </w:r>
      <w:r>
        <w:rPr>
          <w:rFonts w:hint="default" w:ascii="Times New Roman" w:hAnsi="Times New Roman" w:cs="Times New Roman"/>
          <w:color w:val="auto"/>
          <w:lang w:val="en-US" w:eastAsia="zh-CN"/>
        </w:rPr>
        <w:t>21</w:t>
      </w:r>
      <w:r>
        <w:rPr>
          <w:rFonts w:hint="default" w:ascii="Times New Roman" w:hAnsi="Times New Roman" w:cs="Times New Roman"/>
          <w:color w:val="auto"/>
        </w:rPr>
        <w:t>×1</w:t>
      </w:r>
      <w:r>
        <w:rPr>
          <w:rFonts w:hint="eastAsia" w:cs="Times New Roman"/>
          <w:color w:val="auto"/>
          <w:lang w:val="en-US" w:eastAsia="zh-CN"/>
        </w:rPr>
        <w:t>.00</w:t>
      </w:r>
      <w:r>
        <w:rPr>
          <w:rFonts w:hint="default" w:ascii="Times New Roman" w:hAnsi="Times New Roman" w:cs="Times New Roman"/>
          <w:color w:val="auto"/>
        </w:rPr>
        <w:t>+</w:t>
      </w:r>
      <w:r>
        <w:rPr>
          <w:rFonts w:hint="default" w:ascii="Times New Roman" w:hAnsi="Times New Roman" w:cs="Times New Roman"/>
          <w:color w:val="auto"/>
          <w:lang w:val="en-US" w:eastAsia="zh-CN"/>
        </w:rPr>
        <w:t>3</w:t>
      </w:r>
      <w:r>
        <w:rPr>
          <w:rFonts w:hint="default" w:ascii="Times New Roman" w:hAnsi="Times New Roman" w:cs="Times New Roman"/>
          <w:color w:val="auto"/>
        </w:rPr>
        <w:t>×0.8</w:t>
      </w:r>
      <w:r>
        <w:rPr>
          <w:rFonts w:hint="eastAsia" w:cs="Times New Roman"/>
          <w:color w:val="auto"/>
          <w:lang w:val="en-US" w:eastAsia="zh-CN"/>
        </w:rPr>
        <w:t>0</w:t>
      </w:r>
      <w:r>
        <w:rPr>
          <w:rFonts w:hint="default" w:ascii="Times New Roman" w:hAnsi="Times New Roman" w:cs="Times New Roman"/>
          <w:color w:val="auto"/>
        </w:rPr>
        <w:t>）/</w:t>
      </w:r>
      <w:r>
        <w:rPr>
          <w:rFonts w:hint="default" w:ascii="Times New Roman" w:hAnsi="Times New Roman" w:cs="Times New Roman"/>
          <w:color w:val="auto"/>
          <w:lang w:val="en-US" w:eastAsia="zh-CN"/>
        </w:rPr>
        <w:t>24</w:t>
      </w:r>
      <w:r>
        <w:rPr>
          <w:rFonts w:hint="default" w:ascii="Times New Roman" w:hAnsi="Times New Roman" w:cs="Times New Roman"/>
          <w:color w:val="auto"/>
        </w:rPr>
        <w:t>×100</w:t>
      </w:r>
      <w:r>
        <w:rPr>
          <w:rFonts w:hint="eastAsia" w:cs="Times New Roman"/>
          <w:color w:val="auto"/>
          <w:lang w:val="en-US" w:eastAsia="zh-CN"/>
        </w:rPr>
        <w:t>.00</w:t>
      </w:r>
      <w:r>
        <w:rPr>
          <w:rFonts w:hint="default" w:ascii="Times New Roman" w:hAnsi="Times New Roman" w:cs="Times New Roman"/>
          <w:color w:val="auto"/>
        </w:rPr>
        <w:t>%=</w:t>
      </w:r>
      <w:r>
        <w:rPr>
          <w:rFonts w:hint="default" w:ascii="Times New Roman" w:hAnsi="Times New Roman" w:cs="Times New Roman"/>
          <w:color w:val="auto"/>
          <w:lang w:val="en-US" w:eastAsia="zh-CN"/>
        </w:rPr>
        <w:t>97.50</w:t>
      </w:r>
      <w:r>
        <w:rPr>
          <w:rFonts w:hint="default" w:ascii="Times New Roman" w:hAnsi="Times New Roman" w:cs="Times New Roman"/>
          <w:color w:val="auto"/>
        </w:rPr>
        <w:t>%</w:t>
      </w:r>
      <w:r>
        <w:rPr>
          <w:rFonts w:hint="default" w:ascii="Times New Roman" w:hAnsi="Times New Roman" w:cs="Times New Roman"/>
          <w:color w:val="auto"/>
          <w:lang w:eastAsia="zh-CN"/>
        </w:rPr>
        <w:t>，</w:t>
      </w:r>
      <w:r>
        <w:rPr>
          <w:rFonts w:hint="default" w:ascii="Times New Roman" w:hAnsi="Times New Roman" w:cs="Times New Roman"/>
          <w:color w:val="auto"/>
        </w:rPr>
        <w:t>各问题满意度分别为</w:t>
      </w:r>
      <w:r>
        <w:rPr>
          <w:rFonts w:hint="default" w:ascii="Times New Roman" w:hAnsi="Times New Roman" w:cs="Times New Roman"/>
          <w:color w:val="auto"/>
          <w:lang w:val="en-US" w:eastAsia="zh-CN"/>
        </w:rPr>
        <w:t>98.33</w:t>
      </w:r>
      <w:r>
        <w:rPr>
          <w:rFonts w:hint="default" w:ascii="Times New Roman" w:hAnsi="Times New Roman" w:cs="Times New Roman"/>
          <w:color w:val="auto"/>
        </w:rPr>
        <w:t>%、</w:t>
      </w:r>
      <w:r>
        <w:rPr>
          <w:rFonts w:hint="default" w:ascii="Times New Roman" w:hAnsi="Times New Roman" w:cs="Times New Roman"/>
          <w:color w:val="auto"/>
          <w:lang w:val="en-US" w:eastAsia="zh-CN"/>
        </w:rPr>
        <w:t>97.50</w:t>
      </w:r>
      <w:r>
        <w:rPr>
          <w:rFonts w:hint="default" w:ascii="Times New Roman" w:hAnsi="Times New Roman" w:cs="Times New Roman"/>
          <w:color w:val="auto"/>
        </w:rPr>
        <w:t>%，综合满意度</w:t>
      </w:r>
      <w:r>
        <w:rPr>
          <w:rFonts w:hint="default" w:ascii="Times New Roman" w:hAnsi="Times New Roman" w:cs="Times New Roman"/>
          <w:color w:val="auto"/>
          <w:lang w:val="en-US" w:eastAsia="zh-CN"/>
        </w:rPr>
        <w:t>=</w:t>
      </w:r>
      <w:r>
        <w:rPr>
          <w:rFonts w:hint="default" w:ascii="Times New Roman" w:hAnsi="Times New Roman" w:cs="Times New Roman"/>
          <w:color w:val="auto"/>
        </w:rPr>
        <w:t>（</w:t>
      </w:r>
      <w:r>
        <w:rPr>
          <w:rFonts w:hint="default" w:ascii="Times New Roman" w:hAnsi="Times New Roman" w:cs="Times New Roman"/>
          <w:color w:val="auto"/>
          <w:lang w:val="en-US" w:eastAsia="zh-CN"/>
        </w:rPr>
        <w:t>98.33</w:t>
      </w:r>
      <w:r>
        <w:rPr>
          <w:rFonts w:hint="default" w:ascii="Times New Roman" w:hAnsi="Times New Roman" w:cs="Times New Roman"/>
          <w:color w:val="auto"/>
        </w:rPr>
        <w:t>%</w:t>
      </w:r>
      <w:r>
        <w:rPr>
          <w:rFonts w:hint="default" w:ascii="Times New Roman" w:hAnsi="Times New Roman" w:cs="Times New Roman"/>
          <w:color w:val="auto"/>
          <w:lang w:val="en-US" w:eastAsia="zh-CN"/>
        </w:rPr>
        <w:t>+97.50</w:t>
      </w:r>
      <w:r>
        <w:rPr>
          <w:rFonts w:hint="default" w:ascii="Times New Roman" w:hAnsi="Times New Roman" w:cs="Times New Roman"/>
          <w:color w:val="auto"/>
        </w:rPr>
        <w:t>%）/</w:t>
      </w:r>
      <w:r>
        <w:rPr>
          <w:rFonts w:hint="default" w:ascii="Times New Roman" w:hAnsi="Times New Roman" w:cs="Times New Roman"/>
          <w:color w:val="auto"/>
          <w:lang w:val="en-US" w:eastAsia="zh-CN"/>
        </w:rPr>
        <w:t>24</w:t>
      </w:r>
      <w:r>
        <w:rPr>
          <w:rFonts w:hint="default" w:ascii="Times New Roman" w:hAnsi="Times New Roman" w:cs="Times New Roman"/>
          <w:color w:val="auto"/>
        </w:rPr>
        <w:t>=</w:t>
      </w:r>
      <w:r>
        <w:rPr>
          <w:rFonts w:hint="default" w:ascii="Times New Roman" w:hAnsi="Times New Roman" w:cs="Times New Roman"/>
          <w:color w:val="auto"/>
          <w:lang w:val="en-US" w:eastAsia="zh-CN"/>
        </w:rPr>
        <w:t>97.79</w:t>
      </w:r>
      <w:r>
        <w:rPr>
          <w:rFonts w:hint="default" w:ascii="Times New Roman" w:hAnsi="Times New Roman" w:cs="Times New Roman"/>
          <w:color w:val="auto"/>
        </w:rPr>
        <w:t>%，指标完成率大于等于90.00%，达到预期目标。</w:t>
      </w:r>
    </w:p>
    <w:p w14:paraId="7961CF91">
      <w:pPr>
        <w:keepNext w:val="0"/>
        <w:keepLines w:val="0"/>
        <w:pageBreakBefore w:val="0"/>
        <w:widowControl w:val="0"/>
        <w:kinsoku/>
        <w:wordWrap w:val="0"/>
        <w:overflowPunct/>
        <w:topLinePunct w:val="0"/>
        <w:autoSpaceDE/>
        <w:autoSpaceDN/>
        <w:bidi w:val="0"/>
        <w:adjustRightInd w:val="0"/>
        <w:snapToGrid w:val="0"/>
        <w:spacing w:line="360" w:lineRule="auto"/>
        <w:ind w:firstLine="420"/>
        <w:textAlignment w:val="auto"/>
        <w:rPr>
          <w:rFonts w:ascii="Times New Roman" w:hAnsi="Times New Roman" w:cs="Times New Roman"/>
          <w:color w:val="auto"/>
        </w:rPr>
      </w:pPr>
      <w:r>
        <w:rPr>
          <w:rFonts w:hint="default" w:ascii="Times New Roman" w:hAnsi="Times New Roman" w:cs="Times New Roman"/>
          <w:color w:val="auto"/>
        </w:rPr>
        <w:t>该指标满分为15.00分，根据评分标准得15.00分。</w:t>
      </w:r>
    </w:p>
    <w:p w14:paraId="1018A7D5">
      <w:pPr>
        <w:pStyle w:val="4"/>
        <w:pageBreakBefore w:val="0"/>
        <w:kinsoku/>
        <w:wordWrap/>
        <w:overflowPunct/>
        <w:topLinePunct w:val="0"/>
        <w:autoSpaceDE/>
        <w:autoSpaceDN/>
        <w:bidi w:val="0"/>
        <w:snapToGrid w:val="0"/>
        <w:spacing w:line="360" w:lineRule="auto"/>
        <w:ind w:firstLine="482"/>
        <w:rPr>
          <w:rFonts w:hint="default" w:ascii="Times New Roman" w:hAnsi="Times New Roman" w:cs="Times New Roman"/>
          <w:color w:val="auto"/>
        </w:rPr>
      </w:pPr>
      <w:bookmarkStart w:id="77" w:name="_Toc21254"/>
      <w:r>
        <w:rPr>
          <w:rFonts w:hint="default" w:ascii="Times New Roman" w:hAnsi="Times New Roman" w:cs="Times New Roman"/>
          <w:color w:val="auto"/>
        </w:rPr>
        <w:t>六、主要经验及做法、存在的问题及原因分析</w:t>
      </w:r>
      <w:bookmarkEnd w:id="76"/>
      <w:bookmarkEnd w:id="77"/>
    </w:p>
    <w:p w14:paraId="1C35CF84">
      <w:pPr>
        <w:pStyle w:val="5"/>
        <w:pageBreakBefore w:val="0"/>
        <w:kinsoku/>
        <w:wordWrap/>
        <w:overflowPunct/>
        <w:topLinePunct w:val="0"/>
        <w:autoSpaceDE/>
        <w:autoSpaceDN/>
        <w:bidi w:val="0"/>
        <w:snapToGrid w:val="0"/>
        <w:spacing w:line="360" w:lineRule="auto"/>
        <w:ind w:firstLine="482"/>
        <w:rPr>
          <w:rFonts w:hint="default" w:ascii="Times New Roman" w:hAnsi="Times New Roman" w:cs="Times New Roman"/>
          <w:color w:val="auto"/>
        </w:rPr>
      </w:pPr>
      <w:bookmarkStart w:id="78" w:name="_Toc16974"/>
      <w:bookmarkStart w:id="79" w:name="_Toc15518"/>
      <w:bookmarkStart w:id="80" w:name="_Toc14662"/>
      <w:bookmarkStart w:id="81" w:name="_Toc31733"/>
      <w:r>
        <w:rPr>
          <w:rFonts w:hint="default" w:ascii="Times New Roman" w:hAnsi="Times New Roman" w:cs="Times New Roman"/>
          <w:color w:val="auto"/>
        </w:rPr>
        <w:t>（一）主要经验及做法</w:t>
      </w:r>
      <w:bookmarkEnd w:id="78"/>
      <w:bookmarkEnd w:id="79"/>
      <w:bookmarkEnd w:id="80"/>
      <w:bookmarkEnd w:id="81"/>
    </w:p>
    <w:p w14:paraId="66FEB79D">
      <w:pPr>
        <w:pStyle w:val="16"/>
        <w:widowControl/>
        <w:spacing w:beforeAutospacing="0" w:afterAutospacing="0" w:line="360" w:lineRule="auto"/>
        <w:ind w:firstLine="420"/>
        <w:rPr>
          <w:rFonts w:hint="default" w:ascii="Times New Roman" w:hAnsi="Times New Roman" w:cs="Times New Roman" w:eastAsiaTheme="minorEastAsia"/>
          <w:color w:val="auto"/>
          <w:kern w:val="2"/>
          <w:sz w:val="21"/>
          <w:szCs w:val="21"/>
          <w:lang w:val="en-US" w:eastAsia="zh-CN" w:bidi="ar-SA"/>
        </w:rPr>
      </w:pPr>
      <w:bookmarkStart w:id="82" w:name="_Toc4015"/>
      <w:bookmarkStart w:id="83" w:name="_Toc370"/>
      <w:bookmarkStart w:id="84" w:name="_Toc13318"/>
      <w:r>
        <w:rPr>
          <w:rFonts w:hint="default" w:ascii="Times New Roman" w:hAnsi="Times New Roman" w:cs="Times New Roman" w:eastAsiaTheme="minorEastAsia"/>
          <w:color w:val="auto"/>
          <w:kern w:val="2"/>
          <w:sz w:val="21"/>
          <w:szCs w:val="21"/>
          <w:lang w:val="en-US" w:eastAsia="zh-CN" w:bidi="ar-SA"/>
        </w:rPr>
        <w:t>该项目在实施过程中，</w:t>
      </w:r>
      <w:r>
        <w:rPr>
          <w:rFonts w:hint="eastAsia" w:cs="Times New Roman"/>
          <w:color w:val="auto"/>
          <w:kern w:val="2"/>
          <w:sz w:val="21"/>
          <w:szCs w:val="21"/>
          <w:lang w:val="en-US" w:eastAsia="zh-CN" w:bidi="ar-SA"/>
        </w:rPr>
        <w:t>伊宁县</w:t>
      </w:r>
      <w:r>
        <w:rPr>
          <w:rFonts w:hint="default" w:ascii="Times New Roman" w:hAnsi="Times New Roman" w:cs="Times New Roman" w:eastAsiaTheme="minorEastAsia"/>
          <w:color w:val="auto"/>
          <w:kern w:val="2"/>
          <w:sz w:val="21"/>
          <w:szCs w:val="21"/>
          <w:lang w:val="en-US" w:eastAsia="zh-CN" w:bidi="ar-SA"/>
        </w:rPr>
        <w:t>民政局通过多途径精准识别保障对象，对受助孤儿学生信息进行动态管理，及时更新和调整资助对象，确保补助政策实施有效性；建立申请、审核、审批的规范流程，确保助学金的发放过程公开透明，资金管理使用安全有效；按学年标准发放助学金，确保孤儿学生得到稳定的经济支持。</w:t>
      </w:r>
    </w:p>
    <w:p w14:paraId="19290585">
      <w:pPr>
        <w:pStyle w:val="5"/>
        <w:pageBreakBefore w:val="0"/>
        <w:kinsoku/>
        <w:wordWrap/>
        <w:overflowPunct/>
        <w:topLinePunct w:val="0"/>
        <w:autoSpaceDE/>
        <w:autoSpaceDN/>
        <w:bidi w:val="0"/>
        <w:snapToGrid w:val="0"/>
        <w:spacing w:line="360" w:lineRule="auto"/>
        <w:ind w:firstLine="482"/>
        <w:rPr>
          <w:rFonts w:hint="default" w:ascii="Times New Roman" w:hAnsi="Times New Roman" w:cs="Times New Roman"/>
          <w:color w:val="auto"/>
        </w:rPr>
      </w:pPr>
      <w:bookmarkStart w:id="85" w:name="_Toc7464"/>
      <w:r>
        <w:rPr>
          <w:rFonts w:hint="default" w:ascii="Times New Roman" w:hAnsi="Times New Roman" w:cs="Times New Roman"/>
          <w:color w:val="auto"/>
        </w:rPr>
        <w:t>（二）存在的问题</w:t>
      </w:r>
      <w:bookmarkEnd w:id="82"/>
      <w:bookmarkEnd w:id="83"/>
      <w:bookmarkEnd w:id="84"/>
      <w:bookmarkEnd w:id="85"/>
    </w:p>
    <w:p w14:paraId="54B2D96A">
      <w:pPr>
        <w:spacing w:line="360" w:lineRule="auto"/>
        <w:ind w:firstLine="420"/>
        <w:rPr>
          <w:rFonts w:hint="default" w:ascii="Times New Roman" w:hAnsi="Times New Roman" w:cs="Times New Roman" w:eastAsiaTheme="minorEastAsia"/>
          <w:b/>
          <w:bCs/>
          <w:color w:val="auto"/>
          <w:kern w:val="2"/>
          <w:sz w:val="21"/>
          <w:szCs w:val="21"/>
          <w:highlight w:val="none"/>
          <w:lang w:val="en-US" w:eastAsia="zh-CN" w:bidi="ar-SA"/>
        </w:rPr>
      </w:pPr>
      <w:bookmarkStart w:id="86" w:name="_Toc8112"/>
      <w:bookmarkStart w:id="87" w:name="_Toc13947"/>
      <w:bookmarkStart w:id="88" w:name="_Toc15177"/>
      <w:r>
        <w:rPr>
          <w:rFonts w:hint="default" w:ascii="Times New Roman" w:hAnsi="Times New Roman" w:cs="Times New Roman" w:eastAsiaTheme="minorEastAsia"/>
          <w:b/>
          <w:bCs/>
          <w:color w:val="auto"/>
          <w:kern w:val="2"/>
          <w:sz w:val="21"/>
          <w:szCs w:val="21"/>
          <w:highlight w:val="none"/>
          <w:lang w:val="en-US" w:eastAsia="zh-CN" w:bidi="ar-SA"/>
        </w:rPr>
        <w:t>1.资金支付程序</w:t>
      </w:r>
      <w:r>
        <w:rPr>
          <w:rFonts w:hint="eastAsia" w:cs="Times New Roman"/>
          <w:b/>
          <w:bCs/>
          <w:color w:val="auto"/>
          <w:kern w:val="2"/>
          <w:sz w:val="21"/>
          <w:szCs w:val="21"/>
          <w:highlight w:val="none"/>
          <w:lang w:val="en-US" w:eastAsia="zh-CN" w:bidi="ar-SA"/>
        </w:rPr>
        <w:t>提供</w:t>
      </w:r>
      <w:r>
        <w:rPr>
          <w:rFonts w:hint="default" w:ascii="Times New Roman" w:hAnsi="Times New Roman" w:cs="Times New Roman" w:eastAsiaTheme="minorEastAsia"/>
          <w:b/>
          <w:bCs/>
          <w:color w:val="auto"/>
          <w:kern w:val="2"/>
          <w:sz w:val="21"/>
          <w:szCs w:val="21"/>
          <w:highlight w:val="none"/>
          <w:lang w:val="en-US" w:eastAsia="zh-CN" w:bidi="ar-SA"/>
        </w:rPr>
        <w:t>不</w:t>
      </w:r>
      <w:r>
        <w:rPr>
          <w:rFonts w:hint="eastAsia" w:cs="Times New Roman"/>
          <w:b/>
          <w:bCs/>
          <w:color w:val="auto"/>
          <w:kern w:val="2"/>
          <w:sz w:val="21"/>
          <w:szCs w:val="21"/>
          <w:highlight w:val="none"/>
          <w:lang w:val="en-US" w:eastAsia="zh-CN" w:bidi="ar-SA"/>
        </w:rPr>
        <w:t>完整</w:t>
      </w:r>
    </w:p>
    <w:p w14:paraId="091C6C7A">
      <w:pPr>
        <w:spacing w:line="360" w:lineRule="auto"/>
        <w:ind w:firstLine="420"/>
        <w:rPr>
          <w:rFonts w:hint="default" w:cs="Times New Roman"/>
          <w:color w:val="auto"/>
          <w:highlight w:val="none"/>
          <w:lang w:val="en-US" w:eastAsia="zh-CN"/>
        </w:rPr>
      </w:pPr>
      <w:r>
        <w:rPr>
          <w:rFonts w:hint="eastAsia" w:cs="Times New Roman"/>
          <w:color w:val="auto"/>
          <w:lang w:val="en-US" w:eastAsia="zh-CN"/>
        </w:rPr>
        <w:t>经查阅项目实施单位提供的财务支出凭证</w:t>
      </w:r>
      <w:r>
        <w:rPr>
          <w:rFonts w:hint="default" w:ascii="Times New Roman" w:hAnsi="Times New Roman" w:cs="Times New Roman"/>
          <w:color w:val="auto"/>
          <w:lang w:val="zh-TW" w:eastAsia="zh-CN"/>
        </w:rPr>
        <w:t>，</w:t>
      </w:r>
      <w:r>
        <w:rPr>
          <w:rFonts w:hint="eastAsia" w:cs="Times New Roman"/>
          <w:color w:val="auto"/>
          <w:lang w:val="en-US" w:eastAsia="zh-CN"/>
        </w:rPr>
        <w:t>未见按照</w:t>
      </w:r>
      <w:r>
        <w:rPr>
          <w:rFonts w:hint="default" w:ascii="Times New Roman" w:hAnsi="Times New Roman" w:cs="Times New Roman"/>
          <w:color w:val="auto"/>
          <w:lang w:val="zh-TW" w:eastAsia="zh-CN"/>
        </w:rPr>
        <w:t>《</w:t>
      </w:r>
      <w:r>
        <w:rPr>
          <w:rFonts w:hint="eastAsia" w:cs="Times New Roman"/>
          <w:color w:val="auto"/>
          <w:lang w:val="en-US" w:eastAsia="zh-CN"/>
        </w:rPr>
        <w:t>伊宁县民政局财务管理制度</w:t>
      </w:r>
      <w:r>
        <w:rPr>
          <w:rFonts w:hint="default" w:ascii="Times New Roman" w:hAnsi="Times New Roman" w:cs="Times New Roman"/>
          <w:color w:val="auto"/>
          <w:lang w:val="zh-TW" w:eastAsia="zh-CN"/>
        </w:rPr>
        <w:t>》</w:t>
      </w:r>
      <w:r>
        <w:rPr>
          <w:rFonts w:hint="eastAsia" w:ascii="Times New Roman" w:hAnsi="Times New Roman" w:cs="Times New Roman"/>
          <w:color w:val="auto"/>
          <w:lang w:val="en-US" w:eastAsia="zh-CN"/>
        </w:rPr>
        <w:t>要求：“</w:t>
      </w:r>
      <w:r>
        <w:rPr>
          <w:rFonts w:hint="eastAsia" w:cs="Times New Roman"/>
          <w:color w:val="auto"/>
          <w:lang w:val="en-US" w:eastAsia="zh-CN"/>
        </w:rPr>
        <w:t>单项或整体开支3,000.00元以上（含3,000.00元），须经局党组领导开会研究决定后报账。</w:t>
      </w:r>
      <w:r>
        <w:rPr>
          <w:rFonts w:hint="eastAsia" w:ascii="Times New Roman" w:hAnsi="Times New Roman" w:cs="Times New Roman"/>
          <w:color w:val="auto"/>
          <w:lang w:val="en-US" w:eastAsia="zh-CN"/>
        </w:rPr>
        <w:t>”</w:t>
      </w:r>
      <w:r>
        <w:rPr>
          <w:rFonts w:hint="default" w:ascii="Times New Roman" w:hAnsi="Times New Roman" w:cs="Times New Roman"/>
          <w:color w:val="auto"/>
          <w:lang w:val="en-US" w:eastAsia="zh-CN"/>
        </w:rPr>
        <w:t>要求</w:t>
      </w:r>
      <w:r>
        <w:rPr>
          <w:rFonts w:hint="eastAsia" w:cs="Times New Roman"/>
          <w:color w:val="auto"/>
          <w:highlight w:val="none"/>
          <w:lang w:val="en-US" w:eastAsia="zh-CN"/>
        </w:rPr>
        <w:t>提供</w:t>
      </w:r>
      <w:r>
        <w:rPr>
          <w:rFonts w:hint="eastAsia" w:cs="Times New Roman"/>
          <w:color w:val="auto"/>
          <w:lang w:val="en-US" w:eastAsia="zh-CN"/>
        </w:rPr>
        <w:t>局党组关于</w:t>
      </w:r>
      <w:r>
        <w:rPr>
          <w:rFonts w:hint="eastAsia" w:cs="Times New Roman"/>
          <w:color w:val="auto"/>
          <w:highlight w:val="none"/>
          <w:lang w:val="en-US" w:eastAsia="zh-CN"/>
        </w:rPr>
        <w:t>重大支出的集体决策</w:t>
      </w:r>
      <w:r>
        <w:rPr>
          <w:rFonts w:hint="eastAsia" w:cs="Times New Roman"/>
          <w:color w:val="auto"/>
          <w:lang w:val="en-US" w:eastAsia="zh-CN"/>
        </w:rPr>
        <w:t>会议纪要</w:t>
      </w:r>
      <w:r>
        <w:rPr>
          <w:rFonts w:hint="eastAsia" w:cs="Times New Roman"/>
          <w:color w:val="auto"/>
          <w:highlight w:val="none"/>
          <w:lang w:val="en-US" w:eastAsia="zh-CN"/>
        </w:rPr>
        <w:t>。</w:t>
      </w:r>
    </w:p>
    <w:p w14:paraId="49CE0843">
      <w:pPr>
        <w:spacing w:line="360" w:lineRule="auto"/>
        <w:ind w:firstLine="420"/>
        <w:rPr>
          <w:rFonts w:hint="default" w:ascii="Times New Roman" w:hAnsi="Times New Roman" w:cs="Times New Roman" w:eastAsiaTheme="minorEastAsia"/>
          <w:b/>
          <w:bCs/>
          <w:color w:val="auto"/>
          <w:kern w:val="2"/>
          <w:sz w:val="21"/>
          <w:szCs w:val="21"/>
          <w:highlight w:val="none"/>
          <w:lang w:val="en-US" w:eastAsia="zh-CN" w:bidi="ar-SA"/>
        </w:rPr>
      </w:pPr>
      <w:r>
        <w:rPr>
          <w:rFonts w:hint="default" w:ascii="Times New Roman" w:hAnsi="Times New Roman" w:cs="Times New Roman" w:eastAsiaTheme="minorEastAsia"/>
          <w:b/>
          <w:bCs/>
          <w:color w:val="auto"/>
          <w:kern w:val="2"/>
          <w:sz w:val="21"/>
          <w:szCs w:val="21"/>
          <w:highlight w:val="none"/>
          <w:lang w:val="en-US" w:eastAsia="zh-CN" w:bidi="ar-SA"/>
        </w:rPr>
        <w:t>2.</w:t>
      </w:r>
      <w:r>
        <w:rPr>
          <w:rFonts w:hint="eastAsia" w:cs="Times New Roman"/>
          <w:b/>
          <w:bCs/>
          <w:color w:val="auto"/>
          <w:kern w:val="2"/>
          <w:sz w:val="21"/>
          <w:szCs w:val="21"/>
          <w:highlight w:val="none"/>
          <w:lang w:val="en-US" w:eastAsia="zh-CN" w:bidi="ar-SA"/>
        </w:rPr>
        <w:t>项目</w:t>
      </w:r>
      <w:r>
        <w:rPr>
          <w:rFonts w:hint="default" w:ascii="Times New Roman" w:hAnsi="Times New Roman" w:cs="Times New Roman" w:eastAsiaTheme="minorEastAsia"/>
          <w:b/>
          <w:bCs/>
          <w:color w:val="auto"/>
          <w:kern w:val="2"/>
          <w:sz w:val="21"/>
          <w:szCs w:val="21"/>
          <w:highlight w:val="none"/>
          <w:lang w:val="en-US" w:eastAsia="zh-CN" w:bidi="ar-SA"/>
        </w:rPr>
        <w:t>助学金发放不及时</w:t>
      </w:r>
    </w:p>
    <w:p w14:paraId="09F39182">
      <w:pPr>
        <w:pageBreakBefore w:val="0"/>
        <w:kinsoku/>
        <w:wordWrap/>
        <w:overflowPunct/>
        <w:topLinePunct w:val="0"/>
        <w:autoSpaceDE/>
        <w:autoSpaceDN/>
        <w:bidi w:val="0"/>
        <w:snapToGrid w:val="0"/>
        <w:spacing w:line="360" w:lineRule="auto"/>
        <w:ind w:firstLine="420" w:firstLineChars="0"/>
        <w:jc w:val="left"/>
        <w:rPr>
          <w:rFonts w:hint="default"/>
          <w:b w:val="0"/>
          <w:bCs w:val="0"/>
          <w:color w:val="auto"/>
          <w:lang w:val="en-US" w:eastAsia="zh-CN"/>
        </w:rPr>
      </w:pPr>
      <w:r>
        <w:rPr>
          <w:rFonts w:hint="default" w:ascii="Times New Roman" w:hAnsi="Times New Roman" w:cs="Times New Roman"/>
          <w:color w:val="auto"/>
          <w:lang w:val="en-US" w:eastAsia="zh-CN"/>
        </w:rPr>
        <w:t>经查看</w:t>
      </w:r>
      <w:r>
        <w:rPr>
          <w:rFonts w:hint="eastAsia" w:cs="Times New Roman"/>
          <w:color w:val="auto"/>
          <w:lang w:val="en-US" w:eastAsia="zh-CN"/>
        </w:rPr>
        <w:t>孤儿助学金发放明细及财务支出凭证可知，</w:t>
      </w:r>
      <w:r>
        <w:rPr>
          <w:rFonts w:hint="default" w:ascii="Times New Roman" w:hAnsi="Times New Roman" w:cs="Times New Roman"/>
          <w:color w:val="auto"/>
          <w:lang w:val="en-US" w:eastAsia="zh-CN"/>
        </w:rPr>
        <w:t>项目</w:t>
      </w:r>
      <w:r>
        <w:rPr>
          <w:rFonts w:hint="eastAsia" w:cs="Times New Roman"/>
          <w:color w:val="auto"/>
          <w:lang w:val="en-US" w:eastAsia="zh-CN"/>
        </w:rPr>
        <w:t>2024年度第一、二季度共计发放</w:t>
      </w:r>
      <w:r>
        <w:rPr>
          <w:rFonts w:hint="eastAsia" w:ascii="Times New Roman" w:hAnsi="Times New Roman" w:cs="Times New Roman"/>
          <w:color w:val="auto"/>
          <w:lang w:val="en-US" w:eastAsia="zh-CN"/>
        </w:rPr>
        <w:t>补助</w:t>
      </w:r>
      <w:r>
        <w:rPr>
          <w:rFonts w:hint="default" w:ascii="Times New Roman" w:hAnsi="Times New Roman" w:cs="Times New Roman"/>
          <w:color w:val="auto"/>
          <w:lang w:val="en-US" w:eastAsia="zh-CN"/>
        </w:rPr>
        <w:t>资金</w:t>
      </w:r>
      <w:r>
        <w:rPr>
          <w:rFonts w:hint="eastAsia" w:cs="Times New Roman"/>
          <w:color w:val="auto"/>
          <w:lang w:val="en-US" w:eastAsia="zh-CN"/>
        </w:rPr>
        <w:t>10.00万元，其中：第一季度应发13名孤儿的助学金3.25万元实际于2024年5月发放，第二季度应发13名孤儿的助学金3.25万元实际于2024年7月发放，第一、第二季度应发7名孤儿的助学金3.50万元实际于2024年8月一次性补发，均与</w:t>
      </w:r>
      <w:r>
        <w:rPr>
          <w:rFonts w:hint="default" w:ascii="Times New Roman" w:hAnsi="Times New Roman" w:cs="Times New Roman"/>
          <w:color w:val="auto"/>
          <w:lang w:val="zh-TW" w:eastAsia="zh-CN"/>
        </w:rPr>
        <w:t>《“福彩圆梦·孤儿助学工程”项目实施暂行办法》（民办发〔2019〕24号）</w:t>
      </w:r>
      <w:r>
        <w:rPr>
          <w:rFonts w:hint="eastAsia" w:cs="Times New Roman"/>
          <w:color w:val="auto"/>
          <w:lang w:val="en-US" w:eastAsia="zh-CN"/>
        </w:rPr>
        <w:t>关于</w:t>
      </w:r>
      <w:r>
        <w:rPr>
          <w:rFonts w:hint="default" w:ascii="Times New Roman" w:hAnsi="Times New Roman" w:cs="Times New Roman"/>
          <w:color w:val="auto"/>
          <w:lang w:val="zh-TW" w:eastAsia="zh-CN"/>
        </w:rPr>
        <w:t>“孤儿助学金</w:t>
      </w:r>
      <w:r>
        <w:rPr>
          <w:rFonts w:hint="default" w:cs="Times New Roman"/>
          <w:color w:val="auto"/>
          <w:lang w:val="zh-TW" w:eastAsia="zh-CN"/>
        </w:rPr>
        <w:t>按月或按季度</w:t>
      </w:r>
      <w:r>
        <w:rPr>
          <w:rFonts w:hint="default" w:ascii="Times New Roman" w:hAnsi="Times New Roman" w:cs="Times New Roman"/>
          <w:color w:val="auto"/>
          <w:lang w:val="zh-TW" w:eastAsia="zh-CN"/>
        </w:rPr>
        <w:t>补助”</w:t>
      </w:r>
      <w:r>
        <w:rPr>
          <w:rFonts w:hint="eastAsia" w:cs="Times New Roman"/>
          <w:color w:val="auto"/>
          <w:lang w:val="zh-TW" w:eastAsia="zh-CN"/>
        </w:rPr>
        <w:t>的</w:t>
      </w:r>
      <w:r>
        <w:rPr>
          <w:rFonts w:hint="default" w:ascii="Times New Roman" w:hAnsi="Times New Roman" w:cs="Times New Roman"/>
          <w:color w:val="auto"/>
          <w:lang w:val="en-US" w:eastAsia="zh-CN"/>
        </w:rPr>
        <w:t>要求</w:t>
      </w:r>
      <w:r>
        <w:rPr>
          <w:rFonts w:hint="eastAsia" w:cs="Times New Roman"/>
          <w:color w:val="auto"/>
          <w:lang w:val="en-US" w:eastAsia="zh-CN"/>
        </w:rPr>
        <w:t>不相符</w:t>
      </w:r>
      <w:r>
        <w:rPr>
          <w:rFonts w:hint="default" w:ascii="Times New Roman" w:hAnsi="Times New Roman" w:cs="Times New Roman"/>
          <w:color w:val="auto"/>
          <w:lang w:val="en-US" w:eastAsia="zh-CN"/>
        </w:rPr>
        <w:t>，</w:t>
      </w:r>
      <w:r>
        <w:rPr>
          <w:rFonts w:hint="eastAsia" w:cs="Times New Roman"/>
          <w:color w:val="auto"/>
          <w:lang w:val="en-US" w:eastAsia="zh-CN"/>
        </w:rPr>
        <w:t>具体发放明细表详见基础表3：伊宁县“福彩圆梦 孤儿助学工程”资金发放明细表</w:t>
      </w:r>
      <w:r>
        <w:rPr>
          <w:rFonts w:hint="eastAsia"/>
          <w:b w:val="0"/>
          <w:bCs w:val="0"/>
          <w:color w:val="auto"/>
          <w:lang w:val="en-US" w:eastAsia="zh-CN"/>
        </w:rPr>
        <w:t>。</w:t>
      </w:r>
    </w:p>
    <w:p w14:paraId="089A3B32">
      <w:pPr>
        <w:numPr>
          <w:ilvl w:val="0"/>
          <w:numId w:val="0"/>
        </w:numPr>
        <w:spacing w:line="360" w:lineRule="auto"/>
        <w:ind w:firstLine="420"/>
        <w:rPr>
          <w:rFonts w:hint="default" w:ascii="Times New Roman" w:hAnsi="Times New Roman" w:cs="Times New Roman" w:eastAsiaTheme="minorEastAsia"/>
          <w:b/>
          <w:bCs/>
          <w:color w:val="auto"/>
          <w:kern w:val="2"/>
          <w:sz w:val="21"/>
          <w:szCs w:val="21"/>
          <w:highlight w:val="none"/>
          <w:lang w:val="en-US" w:eastAsia="zh-CN" w:bidi="ar-SA"/>
        </w:rPr>
      </w:pPr>
      <w:r>
        <w:rPr>
          <w:rFonts w:hint="eastAsia" w:cs="Times New Roman"/>
          <w:b/>
          <w:bCs/>
          <w:color w:val="auto"/>
          <w:kern w:val="2"/>
          <w:sz w:val="21"/>
          <w:szCs w:val="21"/>
          <w:highlight w:val="none"/>
          <w:lang w:val="en-US" w:eastAsia="zh-CN" w:bidi="ar-SA"/>
        </w:rPr>
        <w:t>3</w:t>
      </w:r>
      <w:r>
        <w:rPr>
          <w:rFonts w:hint="default" w:ascii="Times New Roman" w:hAnsi="Times New Roman" w:cs="Times New Roman" w:eastAsiaTheme="minorEastAsia"/>
          <w:b/>
          <w:bCs/>
          <w:color w:val="auto"/>
          <w:kern w:val="2"/>
          <w:sz w:val="21"/>
          <w:szCs w:val="21"/>
          <w:highlight w:val="none"/>
          <w:lang w:val="en-US" w:eastAsia="zh-CN" w:bidi="ar-SA"/>
        </w:rPr>
        <w:t>. </w:t>
      </w:r>
      <w:r>
        <w:rPr>
          <w:rFonts w:hint="eastAsia" w:cs="Times New Roman"/>
          <w:b/>
          <w:bCs/>
          <w:color w:val="auto"/>
          <w:kern w:val="2"/>
          <w:sz w:val="21"/>
          <w:szCs w:val="21"/>
          <w:highlight w:val="none"/>
          <w:lang w:val="en-US" w:eastAsia="zh-CN" w:bidi="ar-SA"/>
        </w:rPr>
        <w:t>助学金发放</w:t>
      </w:r>
      <w:r>
        <w:rPr>
          <w:rFonts w:hint="default" w:ascii="Times New Roman" w:hAnsi="Times New Roman" w:cs="Times New Roman" w:eastAsiaTheme="minorEastAsia"/>
          <w:b/>
          <w:bCs/>
          <w:color w:val="auto"/>
          <w:kern w:val="2"/>
          <w:sz w:val="21"/>
          <w:szCs w:val="21"/>
          <w:highlight w:val="none"/>
          <w:lang w:val="en-US" w:eastAsia="zh-CN" w:bidi="ar-SA"/>
        </w:rPr>
        <w:t>未</w:t>
      </w:r>
      <w:r>
        <w:rPr>
          <w:rFonts w:hint="eastAsia" w:cs="Times New Roman"/>
          <w:b/>
          <w:bCs/>
          <w:color w:val="auto"/>
          <w:kern w:val="2"/>
          <w:sz w:val="21"/>
          <w:szCs w:val="21"/>
          <w:highlight w:val="none"/>
          <w:lang w:val="en-US" w:eastAsia="zh-CN" w:bidi="ar-SA"/>
        </w:rPr>
        <w:t>按照政策</w:t>
      </w:r>
      <w:r>
        <w:rPr>
          <w:rFonts w:hint="eastAsia" w:cs="Times New Roman"/>
          <w:b/>
          <w:bCs/>
          <w:color w:val="auto"/>
          <w:highlight w:val="none"/>
          <w:lang w:val="en-US" w:eastAsia="zh-CN"/>
        </w:rPr>
        <w:t>要求</w:t>
      </w:r>
      <w:r>
        <w:rPr>
          <w:rFonts w:hint="eastAsia" w:cs="Times New Roman"/>
          <w:b/>
          <w:bCs/>
          <w:color w:val="auto"/>
          <w:kern w:val="2"/>
          <w:sz w:val="21"/>
          <w:szCs w:val="21"/>
          <w:highlight w:val="none"/>
          <w:lang w:val="en-US" w:eastAsia="zh-CN" w:bidi="ar-SA"/>
        </w:rPr>
        <w:t>及时</w:t>
      </w:r>
      <w:r>
        <w:rPr>
          <w:rFonts w:hint="default" w:ascii="Times New Roman" w:hAnsi="Times New Roman" w:cs="Times New Roman" w:eastAsiaTheme="minorEastAsia"/>
          <w:b/>
          <w:bCs/>
          <w:color w:val="auto"/>
          <w:kern w:val="2"/>
          <w:sz w:val="21"/>
          <w:szCs w:val="21"/>
          <w:highlight w:val="none"/>
          <w:lang w:val="en-US" w:eastAsia="zh-CN" w:bidi="ar-SA"/>
        </w:rPr>
        <w:t>公示</w:t>
      </w:r>
      <w:r>
        <w:rPr>
          <w:rFonts w:hint="eastAsia"/>
          <w:lang w:eastAsia="zh-CN"/>
        </w:rPr>
        <w:t>，</w:t>
      </w:r>
      <w:r>
        <w:rPr>
          <w:rFonts w:hint="eastAsia"/>
          <w:b/>
          <w:bCs/>
          <w:lang w:val="en-US" w:eastAsia="zh-CN"/>
        </w:rPr>
        <w:t>公开内容不完整</w:t>
      </w:r>
    </w:p>
    <w:p w14:paraId="74A215FF">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highlight w:val="none"/>
          <w:lang w:val="zh-TW" w:eastAsia="zh-CN"/>
        </w:rPr>
      </w:pPr>
      <w:r>
        <w:rPr>
          <w:rFonts w:hint="eastAsia"/>
          <w:lang w:val="en-US" w:eastAsia="zh-CN"/>
        </w:rPr>
        <w:t>经查看项目实施单位提供的《2024年度“福彩·圆梦”助学金发放公示》资料，未体现具体的公示地点、公示形式以及公示的时间段</w:t>
      </w:r>
      <w:r>
        <w:rPr>
          <w:rFonts w:hint="default" w:ascii="Times New Roman" w:hAnsi="Times New Roman" w:cs="Times New Roman"/>
          <w:color w:val="auto"/>
          <w:lang w:val="zh-TW" w:eastAsia="zh-CN"/>
        </w:rPr>
        <w:t>。</w:t>
      </w:r>
      <w:r>
        <w:rPr>
          <w:rFonts w:hint="default" w:ascii="Times New Roman" w:hAnsi="Times New Roman" w:cs="Times New Roman"/>
          <w:color w:val="auto"/>
          <w:lang w:val="en-US" w:eastAsia="zh-CN"/>
        </w:rPr>
        <w:t>经查看</w:t>
      </w:r>
      <w:r>
        <w:rPr>
          <w:rFonts w:hint="default" w:ascii="Times New Roman" w:hAnsi="Times New Roman" w:cs="Times New Roman"/>
          <w:color w:val="auto"/>
          <w:lang w:val="zh-TW" w:eastAsia="zh-CN"/>
        </w:rPr>
        <w:t>伊宁县人民政府网站</w:t>
      </w:r>
      <w:r>
        <w:rPr>
          <w:rFonts w:hint="eastAsia" w:cs="Times New Roman"/>
          <w:color w:val="auto"/>
          <w:lang w:val="zh-TW" w:eastAsia="zh-CN"/>
        </w:rPr>
        <w:t>，</w:t>
      </w:r>
      <w:r>
        <w:rPr>
          <w:rFonts w:hint="default" w:ascii="Times New Roman" w:hAnsi="Times New Roman" w:cs="Times New Roman"/>
          <w:color w:val="auto"/>
          <w:lang w:val="en-US" w:eastAsia="zh-CN"/>
        </w:rPr>
        <w:t>未查询到</w:t>
      </w:r>
      <w:r>
        <w:rPr>
          <w:rFonts w:hint="eastAsia" w:cs="Times New Roman"/>
          <w:color w:val="auto"/>
          <w:lang w:val="en-US" w:eastAsia="zh-CN"/>
        </w:rPr>
        <w:t>项目实施单位按照《中央专项彩票公益金支持地方社会公益事业发展资金管理办法》（财综〔2022〕43号）文件要求 “项目主管部门应当于每年6月底前，向社会公告上年度具体项目的资金规模、支出内容、执行情况和实际效果等，接受社会监督。”对补助资金使用情况及时宣传公告。</w:t>
      </w:r>
    </w:p>
    <w:p w14:paraId="361FE086">
      <w:pPr>
        <w:pStyle w:val="4"/>
        <w:pageBreakBefore w:val="0"/>
        <w:kinsoku/>
        <w:wordWrap/>
        <w:overflowPunct/>
        <w:topLinePunct w:val="0"/>
        <w:autoSpaceDE/>
        <w:autoSpaceDN/>
        <w:bidi w:val="0"/>
        <w:snapToGrid w:val="0"/>
        <w:spacing w:line="360" w:lineRule="auto"/>
        <w:ind w:firstLine="482"/>
        <w:rPr>
          <w:rFonts w:hint="default" w:ascii="Times New Roman" w:hAnsi="Times New Roman" w:cs="Times New Roman"/>
          <w:color w:val="auto"/>
        </w:rPr>
      </w:pPr>
      <w:bookmarkStart w:id="89" w:name="_Toc19324"/>
      <w:r>
        <w:rPr>
          <w:rFonts w:hint="default" w:ascii="Times New Roman" w:hAnsi="Times New Roman" w:cs="Times New Roman"/>
          <w:color w:val="auto"/>
        </w:rPr>
        <w:t>七、有关建议</w:t>
      </w:r>
      <w:bookmarkEnd w:id="86"/>
      <w:bookmarkEnd w:id="87"/>
      <w:bookmarkEnd w:id="88"/>
      <w:bookmarkEnd w:id="89"/>
    </w:p>
    <w:p w14:paraId="5501AA3E">
      <w:pPr>
        <w:pStyle w:val="5"/>
        <w:spacing w:line="360" w:lineRule="auto"/>
        <w:rPr>
          <w:rFonts w:hint="default"/>
          <w:sz w:val="21"/>
          <w:szCs w:val="21"/>
          <w:lang w:val="en-US" w:eastAsia="zh-CN"/>
        </w:rPr>
      </w:pPr>
      <w:bookmarkStart w:id="90" w:name="_Toc6374"/>
      <w:bookmarkStart w:id="91" w:name="_Toc32445"/>
      <w:r>
        <w:rPr>
          <w:rFonts w:hint="default"/>
          <w:sz w:val="21"/>
          <w:szCs w:val="21"/>
          <w:lang w:val="en-US" w:eastAsia="zh-CN"/>
        </w:rPr>
        <w:t>（一）</w:t>
      </w:r>
      <w:r>
        <w:rPr>
          <w:rFonts w:hint="eastAsia"/>
          <w:sz w:val="21"/>
          <w:szCs w:val="21"/>
          <w:lang w:val="en-US" w:eastAsia="zh-CN"/>
        </w:rPr>
        <w:t>完善项目</w:t>
      </w:r>
      <w:r>
        <w:rPr>
          <w:rFonts w:hint="default"/>
          <w:sz w:val="21"/>
          <w:szCs w:val="21"/>
          <w:lang w:val="en-US" w:eastAsia="zh-CN"/>
        </w:rPr>
        <w:t>资金</w:t>
      </w:r>
      <w:r>
        <w:rPr>
          <w:rFonts w:hint="eastAsia"/>
          <w:sz w:val="21"/>
          <w:szCs w:val="21"/>
          <w:lang w:val="en-US" w:eastAsia="zh-CN"/>
        </w:rPr>
        <w:t>支出审批程序</w:t>
      </w:r>
      <w:r>
        <w:rPr>
          <w:rFonts w:hint="default"/>
          <w:sz w:val="21"/>
          <w:szCs w:val="21"/>
          <w:lang w:val="en-US" w:eastAsia="zh-CN"/>
        </w:rPr>
        <w:t>，确保资金管理使用规范</w:t>
      </w:r>
      <w:bookmarkEnd w:id="90"/>
    </w:p>
    <w:p w14:paraId="3217D738">
      <w:pPr>
        <w:numPr>
          <w:ilvl w:val="-1"/>
          <w:numId w:val="0"/>
        </w:numPr>
        <w:spacing w:line="360" w:lineRule="auto"/>
        <w:ind w:firstLine="420"/>
        <w:rPr>
          <w:rFonts w:hint="default" w:ascii="Times New Roman" w:hAnsi="Times New Roman" w:cs="Times New Roman"/>
          <w:b w:val="0"/>
          <w:bCs w:val="0"/>
          <w:color w:val="auto"/>
          <w:kern w:val="2"/>
          <w:sz w:val="21"/>
          <w:szCs w:val="21"/>
          <w:highlight w:val="none"/>
          <w:lang w:val="en-US" w:eastAsia="zh-CN" w:bidi="ar-SA"/>
        </w:rPr>
      </w:pPr>
      <w:r>
        <w:rPr>
          <w:rFonts w:hint="eastAsia" w:asciiTheme="minorEastAsia" w:hAnsiTheme="minorEastAsia" w:cstheme="minorEastAsia"/>
          <w:color w:val="auto"/>
          <w:highlight w:val="none"/>
          <w:lang w:val="en-US" w:eastAsia="zh-CN"/>
        </w:rPr>
        <w:t>建议项目实施单位严格落实</w:t>
      </w:r>
      <w:r>
        <w:rPr>
          <w:rFonts w:hint="default" w:ascii="Times New Roman" w:hAnsi="Times New Roman" w:cs="Times New Roman"/>
          <w:color w:val="auto"/>
          <w:lang w:val="zh-TW" w:eastAsia="zh-CN"/>
        </w:rPr>
        <w:t>《</w:t>
      </w:r>
      <w:r>
        <w:rPr>
          <w:rFonts w:hint="eastAsia" w:cs="Times New Roman"/>
          <w:color w:val="auto"/>
          <w:lang w:val="en-US" w:eastAsia="zh-CN"/>
        </w:rPr>
        <w:t>伊宁县民政局财务管理制度</w:t>
      </w:r>
      <w:r>
        <w:rPr>
          <w:rFonts w:hint="default" w:ascii="Times New Roman" w:hAnsi="Times New Roman" w:cs="Times New Roman"/>
          <w:color w:val="auto"/>
          <w:lang w:val="zh-TW" w:eastAsia="zh-CN"/>
        </w:rPr>
        <w:t>》</w:t>
      </w:r>
      <w:r>
        <w:rPr>
          <w:rFonts w:hint="eastAsia" w:cs="Times New Roman"/>
          <w:color w:val="auto"/>
          <w:lang w:val="zh-TW" w:eastAsia="zh-CN"/>
        </w:rPr>
        <w:t>的</w:t>
      </w:r>
      <w:r>
        <w:rPr>
          <w:rFonts w:hint="eastAsia" w:cs="Times New Roman"/>
          <w:color w:val="auto"/>
          <w:lang w:val="en-US" w:eastAsia="zh-CN"/>
        </w:rPr>
        <w:t>管理规定，</w:t>
      </w:r>
      <w:r>
        <w:rPr>
          <w:rFonts w:hint="eastAsia" w:cs="Times New Roman"/>
          <w:color w:val="auto"/>
          <w:kern w:val="2"/>
          <w:sz w:val="21"/>
          <w:szCs w:val="21"/>
          <w:highlight w:val="none"/>
          <w:lang w:val="en-US" w:eastAsia="zh-CN" w:bidi="ar-SA"/>
        </w:rPr>
        <w:t>严格按照</w:t>
      </w:r>
      <w:r>
        <w:rPr>
          <w:rFonts w:hint="default" w:ascii="Times New Roman" w:hAnsi="Times New Roman" w:cs="Times New Roman" w:eastAsiaTheme="minorEastAsia"/>
          <w:color w:val="auto"/>
          <w:kern w:val="2"/>
          <w:sz w:val="21"/>
          <w:szCs w:val="21"/>
          <w:highlight w:val="none"/>
          <w:lang w:val="en-US" w:eastAsia="zh-CN" w:bidi="ar-SA"/>
        </w:rPr>
        <w:t>大额资金支付或重要项目资金支付等事项</w:t>
      </w:r>
      <w:r>
        <w:rPr>
          <w:rFonts w:hint="eastAsia" w:cs="Times New Roman"/>
          <w:color w:val="auto"/>
          <w:kern w:val="2"/>
          <w:sz w:val="21"/>
          <w:szCs w:val="21"/>
          <w:highlight w:val="none"/>
          <w:lang w:val="en-US" w:eastAsia="zh-CN" w:bidi="ar-SA"/>
        </w:rPr>
        <w:t>的审批程序</w:t>
      </w:r>
      <w:r>
        <w:rPr>
          <w:rFonts w:hint="default" w:ascii="Times New Roman" w:hAnsi="Times New Roman" w:cs="Times New Roman" w:eastAsiaTheme="minorEastAsia"/>
          <w:color w:val="auto"/>
          <w:kern w:val="2"/>
          <w:sz w:val="21"/>
          <w:szCs w:val="21"/>
          <w:highlight w:val="none"/>
          <w:lang w:val="en-US" w:eastAsia="zh-CN" w:bidi="ar-SA"/>
        </w:rPr>
        <w:t>，</w:t>
      </w:r>
      <w:r>
        <w:rPr>
          <w:rFonts w:hint="eastAsia" w:cs="Times New Roman"/>
          <w:color w:val="auto"/>
          <w:kern w:val="2"/>
          <w:sz w:val="21"/>
          <w:szCs w:val="21"/>
          <w:highlight w:val="none"/>
          <w:lang w:val="en-US" w:eastAsia="zh-CN" w:bidi="ar-SA"/>
        </w:rPr>
        <w:t>履行</w:t>
      </w:r>
      <w:r>
        <w:rPr>
          <w:rFonts w:hint="eastAsia" w:cs="Times New Roman"/>
          <w:color w:val="auto"/>
          <w:lang w:val="en-US" w:eastAsia="zh-CN"/>
        </w:rPr>
        <w:t>局党组会的重大决策机制并形成集体决策会议纪要，</w:t>
      </w:r>
      <w:r>
        <w:rPr>
          <w:rFonts w:hint="eastAsia"/>
        </w:rPr>
        <w:t>作为支付审批的必备凭证与档案留存</w:t>
      </w:r>
      <w:r>
        <w:rPr>
          <w:rFonts w:hint="eastAsia"/>
          <w:lang w:eastAsia="zh-CN"/>
        </w:rPr>
        <w:t>，</w:t>
      </w:r>
      <w:r>
        <w:rPr>
          <w:rFonts w:hint="eastAsia"/>
          <w:lang w:val="en-US" w:eastAsia="zh-CN"/>
        </w:rPr>
        <w:t>确保单位资金支付审批程序完整，资金管理使用规范</w:t>
      </w:r>
      <w:r>
        <w:rPr>
          <w:rFonts w:hint="eastAsia"/>
        </w:rPr>
        <w:t>。</w:t>
      </w:r>
    </w:p>
    <w:p w14:paraId="43E47B4E">
      <w:pPr>
        <w:pStyle w:val="5"/>
        <w:spacing w:line="360" w:lineRule="auto"/>
        <w:rPr>
          <w:rFonts w:hint="default"/>
          <w:sz w:val="21"/>
          <w:szCs w:val="21"/>
          <w:lang w:val="en-US" w:eastAsia="zh-CN"/>
        </w:rPr>
      </w:pPr>
      <w:bookmarkStart w:id="92" w:name="_Toc15589"/>
      <w:r>
        <w:rPr>
          <w:rFonts w:hint="default"/>
          <w:sz w:val="21"/>
          <w:szCs w:val="21"/>
          <w:lang w:val="en-US" w:eastAsia="zh-CN"/>
        </w:rPr>
        <w:t>（二）压实补助资金发放的主体责任</w:t>
      </w:r>
      <w:r>
        <w:rPr>
          <w:rFonts w:hint="eastAsia"/>
          <w:sz w:val="21"/>
          <w:szCs w:val="21"/>
          <w:lang w:val="en-US" w:eastAsia="zh-CN"/>
        </w:rPr>
        <w:t>，确保资金按时发放</w:t>
      </w:r>
      <w:bookmarkEnd w:id="92"/>
    </w:p>
    <w:p w14:paraId="22DFB9A4">
      <w:pPr>
        <w:numPr>
          <w:ilvl w:val="-1"/>
          <w:numId w:val="0"/>
        </w:numPr>
        <w:spacing w:line="360" w:lineRule="auto"/>
        <w:ind w:firstLine="420"/>
        <w:rPr>
          <w:rFonts w:hint="eastAsia" w:asciiTheme="minorEastAsia" w:hAnsiTheme="minorEastAsia" w:cstheme="minorEastAsia"/>
          <w:lang w:val="en-US" w:eastAsia="zh-CN"/>
        </w:rPr>
      </w:pPr>
      <w:r>
        <w:rPr>
          <w:rFonts w:hint="eastAsia" w:asciiTheme="minorEastAsia" w:hAnsiTheme="minorEastAsia" w:cstheme="minorEastAsia"/>
          <w:lang w:val="en-US" w:eastAsia="zh-CN"/>
        </w:rPr>
        <w:t>一是建议项目实施单位压实补助资金发放的主体责任，明确项目流程和时间节点，确保伊宁县儿童福利院严格按照时间节点完成数据的上报和审核工作，严格按照流程完成补助资金的发放，确保政策落实到位。</w:t>
      </w:r>
    </w:p>
    <w:p w14:paraId="1A2F8684">
      <w:pPr>
        <w:numPr>
          <w:ilvl w:val="-1"/>
          <w:numId w:val="0"/>
        </w:numPr>
        <w:spacing w:line="360" w:lineRule="auto"/>
        <w:ind w:firstLine="420"/>
        <w:rPr>
          <w:rFonts w:hint="eastAsia" w:asciiTheme="minorEastAsia" w:hAnsiTheme="minorEastAsia" w:cstheme="minorEastAsia"/>
        </w:rPr>
      </w:pPr>
      <w:r>
        <w:rPr>
          <w:rFonts w:hint="eastAsia" w:asciiTheme="minorEastAsia" w:hAnsiTheme="minorEastAsia" w:cstheme="minorEastAsia"/>
          <w:lang w:val="en-US" w:eastAsia="zh-CN"/>
        </w:rPr>
        <w:t>二是建议</w:t>
      </w:r>
      <w:r>
        <w:rPr>
          <w:rFonts w:hint="eastAsia" w:eastAsiaTheme="minorEastAsia"/>
          <w:color w:val="auto"/>
          <w:sz w:val="21"/>
          <w:lang w:eastAsia="zh-CN"/>
        </w:rPr>
        <w:t>实施单位</w:t>
      </w:r>
      <w:r>
        <w:rPr>
          <w:rFonts w:hint="eastAsia"/>
          <w:color w:val="auto"/>
          <w:sz w:val="21"/>
          <w:lang w:val="en-US" w:eastAsia="zh-CN"/>
        </w:rPr>
        <w:t>落实</w:t>
      </w:r>
      <w:r>
        <w:rPr>
          <w:rFonts w:hint="eastAsia" w:eastAsiaTheme="minorEastAsia"/>
          <w:color w:val="auto"/>
          <w:sz w:val="21"/>
          <w:lang w:eastAsia="zh-CN"/>
        </w:rPr>
        <w:t>监督检查机制，定期核查受助孤儿补助资金发放情况，按照补助发放要求并结合学生在校的生活需要，确保资金按时、足额发放至孤儿手中</w:t>
      </w:r>
      <w:r>
        <w:rPr>
          <w:rFonts w:hint="eastAsia" w:asciiTheme="minorEastAsia" w:hAnsiTheme="minorEastAsia" w:cstheme="minorEastAsia"/>
          <w:lang w:val="en-US" w:eastAsia="zh-CN"/>
        </w:rPr>
        <w:t>。</w:t>
      </w:r>
    </w:p>
    <w:p w14:paraId="680FFB8E">
      <w:pPr>
        <w:pStyle w:val="5"/>
        <w:spacing w:line="360" w:lineRule="auto"/>
        <w:rPr>
          <w:rFonts w:hint="default"/>
          <w:sz w:val="21"/>
          <w:szCs w:val="21"/>
          <w:lang w:val="en-US" w:eastAsia="zh-CN"/>
        </w:rPr>
      </w:pPr>
      <w:bookmarkStart w:id="93" w:name="_Toc11235"/>
      <w:r>
        <w:rPr>
          <w:rFonts w:hint="eastAsia"/>
          <w:sz w:val="21"/>
          <w:szCs w:val="21"/>
          <w:lang w:val="en-US" w:eastAsia="zh-CN"/>
        </w:rPr>
        <w:t>（三</w:t>
      </w:r>
      <w:r>
        <w:rPr>
          <w:rFonts w:hint="default"/>
          <w:sz w:val="21"/>
          <w:szCs w:val="21"/>
          <w:lang w:val="en-US" w:eastAsia="zh-CN"/>
        </w:rPr>
        <w:t>）</w:t>
      </w:r>
      <w:r>
        <w:rPr>
          <w:rFonts w:hint="eastAsia"/>
          <w:sz w:val="21"/>
          <w:szCs w:val="21"/>
          <w:lang w:val="en-US" w:eastAsia="zh-CN"/>
        </w:rPr>
        <w:t>按规定</w:t>
      </w:r>
      <w:r>
        <w:rPr>
          <w:rFonts w:hint="default"/>
          <w:sz w:val="21"/>
          <w:szCs w:val="21"/>
          <w:lang w:val="en-US" w:eastAsia="zh-CN"/>
        </w:rPr>
        <w:t>落实公示公开</w:t>
      </w:r>
      <w:r>
        <w:rPr>
          <w:rFonts w:hint="eastAsia"/>
          <w:sz w:val="21"/>
          <w:szCs w:val="21"/>
          <w:lang w:val="en-US" w:eastAsia="zh-CN"/>
        </w:rPr>
        <w:t>要求，确保资金使用公开透明</w:t>
      </w:r>
      <w:bookmarkEnd w:id="93"/>
    </w:p>
    <w:p w14:paraId="43D3F342">
      <w:pPr>
        <w:numPr>
          <w:ilvl w:val="-1"/>
          <w:numId w:val="0"/>
        </w:numPr>
        <w:spacing w:line="360" w:lineRule="auto"/>
        <w:ind w:firstLine="420"/>
        <w:rPr>
          <w:rFonts w:hint="default" w:ascii="Times New Roman" w:hAnsi="Times New Roman" w:cs="Times New Roman"/>
          <w:color w:val="auto"/>
        </w:rPr>
      </w:pPr>
      <w:r>
        <w:rPr>
          <w:rFonts w:hint="eastAsia" w:cs="Times New Roman"/>
          <w:color w:val="auto"/>
          <w:kern w:val="2"/>
          <w:sz w:val="21"/>
          <w:szCs w:val="21"/>
          <w:lang w:val="en-US" w:eastAsia="zh-CN" w:bidi="ar-SA"/>
        </w:rPr>
        <w:t>建议</w:t>
      </w:r>
      <w:r>
        <w:rPr>
          <w:rFonts w:hint="eastAsia" w:cs="Times New Roman"/>
          <w:color w:val="auto"/>
          <w:lang w:val="en-US" w:eastAsia="zh-CN"/>
        </w:rPr>
        <w:t>项目实施单位严格按照《中央专项彩票公益金支持地方社会公益事业发展资金管理办法》（财综〔2022〕43号）文件要求落实公示公开责任 ，及时对项目的资金规模、支出内容、执行情况和实际效果等，向社会宣传公告，接受社会监督</w:t>
      </w:r>
      <w:r>
        <w:rPr>
          <w:rFonts w:hint="default" w:ascii="Times New Roman" w:hAnsi="Times New Roman" w:cs="Times New Roman"/>
          <w:color w:val="auto"/>
          <w:kern w:val="2"/>
          <w:sz w:val="21"/>
          <w:szCs w:val="21"/>
          <w:lang w:val="en-US" w:eastAsia="zh-CN" w:bidi="ar-SA"/>
        </w:rPr>
        <w:t>，</w:t>
      </w:r>
      <w:r>
        <w:rPr>
          <w:rFonts w:hint="eastAsia" w:cs="Times New Roman"/>
          <w:color w:val="auto"/>
          <w:kern w:val="2"/>
          <w:sz w:val="21"/>
          <w:szCs w:val="21"/>
          <w:lang w:val="en-US" w:eastAsia="zh-CN" w:bidi="ar-SA"/>
        </w:rPr>
        <w:t>确保资金使用公开透明</w:t>
      </w:r>
      <w:r>
        <w:rPr>
          <w:rFonts w:hint="default" w:ascii="Times New Roman" w:hAnsi="Times New Roman" w:cs="Times New Roman" w:eastAsiaTheme="minorEastAsia"/>
          <w:color w:val="auto"/>
          <w:kern w:val="2"/>
          <w:sz w:val="21"/>
          <w:szCs w:val="21"/>
          <w:lang w:val="en-US" w:eastAsia="zh-CN" w:bidi="ar-SA"/>
        </w:rPr>
        <w:t>。</w:t>
      </w:r>
    </w:p>
    <w:p w14:paraId="1987EBF4">
      <w:pPr>
        <w:keepNext/>
        <w:keepLines/>
        <w:pageBreakBefore w:val="0"/>
        <w:widowControl w:val="0"/>
        <w:kinsoku/>
        <w:wordWrap/>
        <w:overflowPunct/>
        <w:topLinePunct w:val="0"/>
        <w:autoSpaceDE/>
        <w:autoSpaceDN/>
        <w:bidi w:val="0"/>
        <w:adjustRightInd w:val="0"/>
        <w:snapToGrid w:val="0"/>
        <w:spacing w:before="0" w:after="0" w:line="360" w:lineRule="auto"/>
        <w:ind w:firstLine="482" w:firstLineChars="200"/>
        <w:jc w:val="both"/>
        <w:outlineLvl w:val="0"/>
        <w:rPr>
          <w:rFonts w:hint="eastAsia" w:ascii="Times New Roman" w:hAnsi="Times New Roman" w:eastAsia="宋体" w:cs="Times New Roman"/>
          <w:b/>
          <w:bCs/>
          <w:color w:val="auto"/>
          <w:kern w:val="44"/>
          <w:sz w:val="24"/>
          <w:szCs w:val="44"/>
          <w:highlight w:val="none"/>
          <w:lang w:val="en-US" w:eastAsia="zh-CN" w:bidi="ar-SA"/>
        </w:rPr>
      </w:pPr>
      <w:bookmarkStart w:id="94" w:name="_Toc3815"/>
      <w:r>
        <w:rPr>
          <w:rFonts w:hint="eastAsia" w:ascii="Times New Roman" w:hAnsi="Times New Roman" w:eastAsia="宋体" w:cs="Times New Roman"/>
          <w:b/>
          <w:bCs/>
          <w:color w:val="auto"/>
          <w:kern w:val="44"/>
          <w:sz w:val="24"/>
          <w:szCs w:val="44"/>
          <w:highlight w:val="none"/>
          <w:lang w:val="en-US" w:eastAsia="zh-CN" w:bidi="ar-SA"/>
        </w:rPr>
        <w:t>八、绩效评价结果应用建议</w:t>
      </w:r>
      <w:bookmarkEnd w:id="94"/>
    </w:p>
    <w:p w14:paraId="52C1FD5C">
      <w:pPr>
        <w:pageBreakBefore w:val="0"/>
        <w:widowControl w:val="0"/>
        <w:numPr>
          <w:ilvl w:val="0"/>
          <w:numId w:val="0"/>
        </w:numPr>
        <w:kinsoku/>
        <w:wordWrap/>
        <w:overflowPunct/>
        <w:topLinePunct w:val="0"/>
        <w:autoSpaceDE/>
        <w:autoSpaceDN/>
        <w:bidi w:val="0"/>
        <w:adjustRightInd w:val="0"/>
        <w:snapToGrid w:val="0"/>
        <w:spacing w:before="0" w:after="0" w:line="360" w:lineRule="auto"/>
        <w:ind w:firstLine="422" w:firstLineChars="200"/>
        <w:jc w:val="both"/>
        <w:rPr>
          <w:rFonts w:hint="eastAsia" w:ascii="Times New Roman" w:hAnsi="Times New Roman" w:eastAsia="宋体" w:cs="Times New Roman"/>
          <w:b/>
          <w:bCs/>
          <w:color w:val="auto"/>
          <w:kern w:val="2"/>
          <w:sz w:val="21"/>
          <w:szCs w:val="21"/>
          <w:highlight w:val="none"/>
          <w:lang w:val="en-US" w:eastAsia="zh-CN" w:bidi="ar-SA"/>
        </w:rPr>
      </w:pPr>
      <w:r>
        <w:rPr>
          <w:rFonts w:hint="eastAsia" w:ascii="Times New Roman" w:hAnsi="Times New Roman" w:eastAsia="宋体" w:cs="Times New Roman"/>
          <w:b/>
          <w:bCs/>
          <w:color w:val="auto"/>
          <w:kern w:val="2"/>
          <w:sz w:val="21"/>
          <w:szCs w:val="21"/>
          <w:highlight w:val="none"/>
          <w:lang w:val="en-US" w:eastAsia="zh-CN" w:bidi="ar-SA"/>
        </w:rPr>
        <w:t>（一）绩效结果挂钩次年预算资金安排</w:t>
      </w:r>
    </w:p>
    <w:p w14:paraId="1B83FC44">
      <w:pPr>
        <w:pageBreakBefore w:val="0"/>
        <w:widowControl w:val="0"/>
        <w:numPr>
          <w:ilvl w:val="0"/>
          <w:numId w:val="0"/>
        </w:numPr>
        <w:kinsoku/>
        <w:wordWrap/>
        <w:overflowPunct/>
        <w:topLinePunct w:val="0"/>
        <w:autoSpaceDE/>
        <w:autoSpaceDN/>
        <w:bidi w:val="0"/>
        <w:adjustRightInd w:val="0"/>
        <w:snapToGrid w:val="0"/>
        <w:spacing w:before="0" w:after="0" w:line="360" w:lineRule="auto"/>
        <w:ind w:firstLine="420" w:firstLineChars="200"/>
        <w:jc w:val="both"/>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为有效提高财政预算资金的经济性、效率性、效益性和公平性，建议将本次绩效评价结果作为预算单位次年预算编制的重要依据，并优化支出结构、完善相关办法、改进预算管理。</w:t>
      </w:r>
    </w:p>
    <w:p w14:paraId="205321DB">
      <w:pPr>
        <w:pageBreakBefore w:val="0"/>
        <w:widowControl w:val="0"/>
        <w:numPr>
          <w:ilvl w:val="0"/>
          <w:numId w:val="0"/>
        </w:numPr>
        <w:kinsoku/>
        <w:wordWrap/>
        <w:overflowPunct/>
        <w:topLinePunct w:val="0"/>
        <w:autoSpaceDE/>
        <w:autoSpaceDN/>
        <w:bidi w:val="0"/>
        <w:adjustRightInd w:val="0"/>
        <w:snapToGrid w:val="0"/>
        <w:spacing w:before="0" w:after="0" w:line="360" w:lineRule="auto"/>
        <w:ind w:firstLine="422" w:firstLineChars="200"/>
        <w:jc w:val="both"/>
        <w:rPr>
          <w:rFonts w:hint="eastAsia" w:ascii="Times New Roman" w:hAnsi="Times New Roman" w:eastAsia="宋体" w:cs="Times New Roman"/>
          <w:b/>
          <w:bCs/>
          <w:color w:val="auto"/>
          <w:kern w:val="2"/>
          <w:sz w:val="21"/>
          <w:szCs w:val="21"/>
          <w:highlight w:val="none"/>
          <w:lang w:val="en-US" w:eastAsia="zh-CN" w:bidi="ar-SA"/>
        </w:rPr>
      </w:pPr>
      <w:r>
        <w:rPr>
          <w:rFonts w:hint="eastAsia" w:ascii="Times New Roman" w:hAnsi="Times New Roman" w:eastAsia="宋体" w:cs="Times New Roman"/>
          <w:b/>
          <w:bCs/>
          <w:color w:val="auto"/>
          <w:kern w:val="2"/>
          <w:sz w:val="21"/>
          <w:szCs w:val="21"/>
          <w:highlight w:val="none"/>
          <w:lang w:val="en-US" w:eastAsia="zh-CN" w:bidi="ar-SA"/>
        </w:rPr>
        <w:t>（二）绩效结果挂钩整改措施</w:t>
      </w:r>
    </w:p>
    <w:p w14:paraId="7318A013">
      <w:pPr>
        <w:pageBreakBefore w:val="0"/>
        <w:widowControl w:val="0"/>
        <w:numPr>
          <w:ilvl w:val="0"/>
          <w:numId w:val="0"/>
        </w:numPr>
        <w:kinsoku/>
        <w:wordWrap/>
        <w:overflowPunct/>
        <w:topLinePunct w:val="0"/>
        <w:autoSpaceDE/>
        <w:autoSpaceDN/>
        <w:bidi w:val="0"/>
        <w:adjustRightInd w:val="0"/>
        <w:snapToGrid w:val="0"/>
        <w:spacing w:before="0" w:after="0" w:line="360" w:lineRule="auto"/>
        <w:ind w:firstLine="420" w:firstLineChars="200"/>
        <w:jc w:val="both"/>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根据本次绩效评价报告中所反馈的问题和建议，由项目实施单位及时研究制定整改措施，积极落实整改要求，切实改进资金管理和项目管理，并在规定的时间内，将整改情况向伊宁县财政局行文报告，并附《绩效评价结果整改报告》。</w:t>
      </w:r>
    </w:p>
    <w:p w14:paraId="025FB4F6">
      <w:pPr>
        <w:pageBreakBefore w:val="0"/>
        <w:widowControl w:val="0"/>
        <w:numPr>
          <w:ilvl w:val="0"/>
          <w:numId w:val="0"/>
        </w:numPr>
        <w:kinsoku/>
        <w:wordWrap/>
        <w:overflowPunct/>
        <w:topLinePunct w:val="0"/>
        <w:autoSpaceDE/>
        <w:autoSpaceDN/>
        <w:bidi w:val="0"/>
        <w:adjustRightInd w:val="0"/>
        <w:snapToGrid w:val="0"/>
        <w:spacing w:before="0" w:after="0" w:line="360" w:lineRule="auto"/>
        <w:ind w:firstLine="422" w:firstLineChars="200"/>
        <w:jc w:val="both"/>
        <w:rPr>
          <w:rFonts w:hint="eastAsia" w:ascii="Times New Roman" w:hAnsi="Times New Roman" w:eastAsia="宋体" w:cs="Times New Roman"/>
          <w:b/>
          <w:bCs/>
          <w:color w:val="auto"/>
          <w:kern w:val="2"/>
          <w:sz w:val="21"/>
          <w:szCs w:val="21"/>
          <w:highlight w:val="none"/>
          <w:lang w:val="en-US" w:eastAsia="zh-CN" w:bidi="ar-SA"/>
        </w:rPr>
      </w:pPr>
      <w:r>
        <w:rPr>
          <w:rFonts w:hint="eastAsia" w:ascii="Times New Roman" w:hAnsi="Times New Roman" w:eastAsia="宋体" w:cs="Times New Roman"/>
          <w:b/>
          <w:bCs/>
          <w:color w:val="auto"/>
          <w:kern w:val="2"/>
          <w:sz w:val="21"/>
          <w:szCs w:val="21"/>
          <w:highlight w:val="none"/>
          <w:lang w:val="en-US" w:eastAsia="zh-CN" w:bidi="ar-SA"/>
        </w:rPr>
        <w:t>（三）绩效结果挂钩报告公开</w:t>
      </w:r>
    </w:p>
    <w:p w14:paraId="4FE3E684">
      <w:pPr>
        <w:pageBreakBefore w:val="0"/>
        <w:widowControl w:val="0"/>
        <w:numPr>
          <w:ilvl w:val="0"/>
          <w:numId w:val="0"/>
        </w:numPr>
        <w:kinsoku/>
        <w:wordWrap/>
        <w:overflowPunct/>
        <w:topLinePunct w:val="0"/>
        <w:autoSpaceDE/>
        <w:autoSpaceDN/>
        <w:bidi w:val="0"/>
        <w:adjustRightInd w:val="0"/>
        <w:snapToGrid w:val="0"/>
        <w:spacing w:before="0" w:after="0" w:line="360" w:lineRule="auto"/>
        <w:ind w:firstLine="420" w:firstLineChars="200"/>
        <w:jc w:val="both"/>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积极推进评价结果和评价报告等绩效信息的公开。按照政府信息公开有关规定，由伊宁县财政局将本次绩效评价的结果信息进行公开，加强社会和舆论监督，提高财政资金使用透明度。</w:t>
      </w:r>
    </w:p>
    <w:p w14:paraId="5103BBA4">
      <w:pPr>
        <w:pStyle w:val="4"/>
        <w:pageBreakBefore w:val="0"/>
        <w:kinsoku/>
        <w:wordWrap/>
        <w:overflowPunct/>
        <w:topLinePunct w:val="0"/>
        <w:autoSpaceDE/>
        <w:autoSpaceDN/>
        <w:bidi w:val="0"/>
        <w:snapToGrid w:val="0"/>
        <w:spacing w:line="360" w:lineRule="auto"/>
        <w:ind w:firstLine="482"/>
        <w:rPr>
          <w:rFonts w:hint="default" w:ascii="Times New Roman" w:hAnsi="Times New Roman" w:cs="Times New Roman"/>
          <w:color w:val="auto"/>
        </w:rPr>
      </w:pPr>
      <w:bookmarkStart w:id="95" w:name="_Toc21267"/>
      <w:r>
        <w:rPr>
          <w:rFonts w:hint="eastAsia" w:cs="Times New Roman"/>
          <w:color w:val="auto"/>
          <w:lang w:val="en-US" w:eastAsia="zh-CN"/>
        </w:rPr>
        <w:t>九</w:t>
      </w:r>
      <w:r>
        <w:rPr>
          <w:rFonts w:hint="default" w:ascii="Times New Roman" w:hAnsi="Times New Roman" w:cs="Times New Roman"/>
          <w:color w:val="auto"/>
        </w:rPr>
        <w:t>、其他需要说明的问题</w:t>
      </w:r>
      <w:bookmarkEnd w:id="91"/>
      <w:bookmarkEnd w:id="95"/>
    </w:p>
    <w:p w14:paraId="56F66297">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该项目的绩效评价结论可靠性基于相关部门和项目单位提供的项目资料的全面性、真实性和准确性，绩效评价组尽可能地收集更为全面、有效、准确的文件和数据，但由于受客观因素的限制，只能在相关部门和单位提供的现有资料的基础上核实、分析，作出绩效评价结论。绩效评价人员在评价过程中遵循独立、客观、公正原则，恪守职业道德规范，尽可能地确保数据与结论的真实性与可靠性。</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24"/>
        <w:gridCol w:w="4798"/>
      </w:tblGrid>
      <w:tr w14:paraId="1A675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724" w:type="dxa"/>
            <w:tcBorders>
              <w:top w:val="nil"/>
              <w:left w:val="nil"/>
              <w:bottom w:val="nil"/>
              <w:right w:val="nil"/>
            </w:tcBorders>
          </w:tcPr>
          <w:p w14:paraId="3137C337">
            <w:pPr>
              <w:pageBreakBefore w:val="0"/>
              <w:kinsoku/>
              <w:wordWrap/>
              <w:overflowPunct/>
              <w:topLinePunct w:val="0"/>
              <w:autoSpaceDE/>
              <w:autoSpaceDN/>
              <w:bidi w:val="0"/>
              <w:snapToGrid w:val="0"/>
              <w:spacing w:before="0" w:after="0" w:line="360" w:lineRule="auto"/>
              <w:ind w:firstLine="420"/>
              <w:rPr>
                <w:rFonts w:ascii="Times New Roman" w:hAnsi="Times New Roman" w:cs="Times New Roman"/>
                <w:color w:val="auto"/>
              </w:rPr>
            </w:pPr>
          </w:p>
        </w:tc>
        <w:tc>
          <w:tcPr>
            <w:tcW w:w="4798" w:type="dxa"/>
            <w:tcBorders>
              <w:top w:val="nil"/>
              <w:left w:val="nil"/>
              <w:bottom w:val="nil"/>
              <w:right w:val="nil"/>
            </w:tcBorders>
            <w:vAlign w:val="center"/>
          </w:tcPr>
          <w:p w14:paraId="3B214D1E">
            <w:pPr>
              <w:pageBreakBefore w:val="0"/>
              <w:kinsoku/>
              <w:wordWrap/>
              <w:overflowPunct/>
              <w:topLinePunct w:val="0"/>
              <w:autoSpaceDE/>
              <w:autoSpaceDN/>
              <w:bidi w:val="0"/>
              <w:snapToGrid w:val="0"/>
              <w:spacing w:before="0" w:after="0" w:line="360" w:lineRule="auto"/>
              <w:ind w:firstLine="0" w:firstLineChars="0"/>
              <w:rPr>
                <w:rFonts w:ascii="Times New Roman" w:hAnsi="Times New Roman" w:cs="Times New Roman"/>
                <w:color w:val="auto"/>
              </w:rPr>
            </w:pPr>
            <w:r>
              <w:rPr>
                <w:rFonts w:ascii="Times New Roman" w:hAnsi="Times New Roman" w:eastAsia="黑体" w:cs="Times New Roman"/>
                <w:color w:val="auto"/>
              </w:rPr>
              <w:t>评价机构：新疆驰远天合有限责任会计师事务所</w:t>
            </w:r>
          </w:p>
        </w:tc>
      </w:tr>
      <w:tr w14:paraId="63638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724" w:type="dxa"/>
            <w:tcBorders>
              <w:top w:val="nil"/>
              <w:left w:val="nil"/>
              <w:bottom w:val="nil"/>
              <w:right w:val="nil"/>
            </w:tcBorders>
          </w:tcPr>
          <w:p w14:paraId="07FFA5AA">
            <w:pPr>
              <w:pageBreakBefore w:val="0"/>
              <w:kinsoku/>
              <w:wordWrap/>
              <w:overflowPunct/>
              <w:topLinePunct w:val="0"/>
              <w:autoSpaceDE/>
              <w:autoSpaceDN/>
              <w:bidi w:val="0"/>
              <w:snapToGrid w:val="0"/>
              <w:spacing w:before="0" w:after="0" w:line="360" w:lineRule="auto"/>
              <w:ind w:firstLine="420"/>
              <w:rPr>
                <w:rFonts w:ascii="Times New Roman" w:hAnsi="Times New Roman" w:cs="Times New Roman"/>
                <w:color w:val="auto"/>
              </w:rPr>
            </w:pPr>
          </w:p>
        </w:tc>
        <w:tc>
          <w:tcPr>
            <w:tcW w:w="4798" w:type="dxa"/>
            <w:tcBorders>
              <w:top w:val="nil"/>
              <w:left w:val="nil"/>
              <w:bottom w:val="nil"/>
              <w:right w:val="nil"/>
            </w:tcBorders>
            <w:vAlign w:val="center"/>
          </w:tcPr>
          <w:p w14:paraId="42DD4208">
            <w:pPr>
              <w:pageBreakBefore w:val="0"/>
              <w:kinsoku/>
              <w:wordWrap/>
              <w:overflowPunct/>
              <w:topLinePunct w:val="0"/>
              <w:autoSpaceDE/>
              <w:autoSpaceDN/>
              <w:bidi w:val="0"/>
              <w:snapToGrid w:val="0"/>
              <w:spacing w:before="0" w:after="0" w:line="360" w:lineRule="auto"/>
              <w:ind w:firstLine="0" w:firstLineChars="0"/>
              <w:rPr>
                <w:rFonts w:ascii="Times New Roman" w:hAnsi="Times New Roman" w:cs="Times New Roman"/>
                <w:color w:val="auto"/>
              </w:rPr>
            </w:pPr>
            <w:r>
              <w:rPr>
                <w:rFonts w:ascii="Times New Roman" w:hAnsi="Times New Roman" w:eastAsia="黑体" w:cs="Times New Roman"/>
                <w:color w:val="auto"/>
              </w:rPr>
              <w:t>评价时间：202</w:t>
            </w:r>
            <w:r>
              <w:rPr>
                <w:rFonts w:hint="default" w:ascii="Times New Roman" w:hAnsi="Times New Roman" w:eastAsia="黑体" w:cs="Times New Roman"/>
                <w:color w:val="auto"/>
                <w:lang w:val="en-US" w:eastAsia="zh-CN"/>
              </w:rPr>
              <w:t>5</w:t>
            </w:r>
            <w:r>
              <w:rPr>
                <w:rFonts w:ascii="Times New Roman" w:hAnsi="Times New Roman" w:eastAsia="黑体" w:cs="Times New Roman"/>
                <w:color w:val="auto"/>
              </w:rPr>
              <w:t>年</w:t>
            </w:r>
            <w:r>
              <w:rPr>
                <w:rFonts w:hint="default" w:ascii="Times New Roman" w:hAnsi="Times New Roman" w:eastAsia="黑体" w:cs="Times New Roman"/>
                <w:color w:val="auto"/>
                <w:lang w:val="en-US" w:eastAsia="zh-CN"/>
              </w:rPr>
              <w:t>7</w:t>
            </w:r>
            <w:r>
              <w:rPr>
                <w:rFonts w:hint="default" w:ascii="Times New Roman" w:hAnsi="Times New Roman" w:eastAsia="黑体" w:cs="Times New Roman"/>
                <w:color w:val="auto"/>
              </w:rPr>
              <w:t>月</w:t>
            </w:r>
          </w:p>
        </w:tc>
      </w:tr>
    </w:tbl>
    <w:p w14:paraId="06D6F033">
      <w:pPr>
        <w:pageBreakBefore w:val="0"/>
        <w:kinsoku/>
        <w:wordWrap/>
        <w:overflowPunct/>
        <w:topLinePunct w:val="0"/>
        <w:autoSpaceDE/>
        <w:autoSpaceDN/>
        <w:bidi w:val="0"/>
        <w:snapToGrid w:val="0"/>
        <w:spacing w:line="360" w:lineRule="auto"/>
        <w:ind w:firstLine="3150" w:firstLineChars="1500"/>
        <w:rPr>
          <w:rFonts w:ascii="Times New Roman" w:hAnsi="Times New Roman" w:eastAsia="黑体" w:cs="Times New Roman"/>
          <w:color w:val="auto"/>
        </w:rPr>
        <w:sectPr>
          <w:footerReference r:id="rId15" w:type="default"/>
          <w:pgSz w:w="11906" w:h="16838"/>
          <w:pgMar w:top="1440" w:right="1800" w:bottom="1440" w:left="1800" w:header="1020" w:footer="907" w:gutter="0"/>
          <w:pgBorders>
            <w:top w:val="none" w:sz="0" w:space="0"/>
            <w:left w:val="none" w:sz="0" w:space="0"/>
            <w:bottom w:val="none" w:sz="0" w:space="0"/>
            <w:right w:val="none" w:sz="0" w:space="0"/>
          </w:pgBorders>
          <w:pgNumType w:fmt="decimal" w:start="1"/>
          <w:cols w:space="425" w:num="1"/>
          <w:rtlGutter w:val="0"/>
          <w:docGrid w:type="lines" w:linePitch="312" w:charSpace="0"/>
        </w:sectPr>
      </w:pPr>
    </w:p>
    <w:p w14:paraId="6FE162B1">
      <w:pPr>
        <w:pStyle w:val="4"/>
        <w:pageBreakBefore w:val="0"/>
        <w:kinsoku/>
        <w:wordWrap/>
        <w:overflowPunct/>
        <w:topLinePunct w:val="0"/>
        <w:autoSpaceDE/>
        <w:autoSpaceDN/>
        <w:bidi w:val="0"/>
        <w:snapToGrid w:val="0"/>
        <w:spacing w:line="360" w:lineRule="auto"/>
        <w:ind w:firstLine="0" w:firstLineChars="0"/>
        <w:rPr>
          <w:rFonts w:ascii="Times New Roman" w:hAnsi="Times New Roman" w:cs="Times New Roman"/>
          <w:color w:val="auto"/>
        </w:rPr>
      </w:pPr>
      <w:bookmarkStart w:id="96" w:name="_Toc1881"/>
      <w:r>
        <w:rPr>
          <w:rFonts w:ascii="Times New Roman" w:hAnsi="Times New Roman" w:cs="Times New Roman"/>
          <w:color w:val="auto"/>
        </w:rPr>
        <w:t>附件1：绩效评价指标体系及综合评价表</w:t>
      </w:r>
      <w:bookmarkEnd w:id="96"/>
    </w:p>
    <w:p w14:paraId="23AA572F">
      <w:pPr>
        <w:pageBreakBefore w:val="0"/>
        <w:kinsoku/>
        <w:wordWrap/>
        <w:overflowPunct/>
        <w:topLinePunct w:val="0"/>
        <w:autoSpaceDE/>
        <w:autoSpaceDN/>
        <w:bidi w:val="0"/>
        <w:snapToGrid w:val="0"/>
        <w:spacing w:line="360" w:lineRule="auto"/>
        <w:ind w:firstLine="422"/>
        <w:jc w:val="center"/>
        <w:rPr>
          <w:rFonts w:ascii="Times New Roman" w:hAnsi="Times New Roman" w:eastAsia="宋体" w:cs="Times New Roman"/>
          <w:b/>
          <w:bCs/>
          <w:color w:val="auto"/>
        </w:rPr>
      </w:pPr>
      <w:r>
        <w:rPr>
          <w:rFonts w:hint="default" w:ascii="Times New Roman" w:hAnsi="Times New Roman" w:eastAsia="宋体" w:cs="Times New Roman"/>
          <w:b/>
          <w:bCs/>
          <w:color w:val="auto"/>
          <w:lang w:val="en-US" w:eastAsia="zh-CN"/>
        </w:rPr>
        <w:t>伊宁县</w:t>
      </w:r>
      <w:r>
        <w:rPr>
          <w:rFonts w:hint="default" w:ascii="Times New Roman" w:hAnsi="Times New Roman" w:eastAsia="宋体" w:cs="Times New Roman"/>
          <w:b/>
          <w:bCs/>
          <w:color w:val="auto"/>
          <w:lang w:val="en-US"/>
        </w:rPr>
        <w:t>“福彩圆梦</w:t>
      </w:r>
      <w:r>
        <w:rPr>
          <w:rFonts w:hint="default" w:ascii="Times New Roman" w:hAnsi="Times New Roman" w:eastAsia="宋体" w:cs="Times New Roman"/>
          <w:b/>
          <w:bCs/>
          <w:color w:val="auto"/>
          <w:lang w:val="en-US" w:eastAsia="zh-CN"/>
        </w:rPr>
        <w:t xml:space="preserve"> </w:t>
      </w:r>
      <w:r>
        <w:rPr>
          <w:rFonts w:hint="default" w:ascii="Times New Roman" w:hAnsi="Times New Roman" w:eastAsia="宋体" w:cs="Times New Roman"/>
          <w:b/>
          <w:bCs/>
          <w:color w:val="auto"/>
          <w:lang w:val="en-US"/>
        </w:rPr>
        <w:t>孤儿助学工程”</w:t>
      </w:r>
      <w:r>
        <w:rPr>
          <w:rFonts w:ascii="Times New Roman" w:hAnsi="Times New Roman" w:eastAsia="宋体" w:cs="Times New Roman"/>
          <w:b/>
          <w:bCs/>
          <w:color w:val="auto"/>
          <w:lang w:val="en-US"/>
        </w:rPr>
        <w:t>项目</w:t>
      </w:r>
      <w:r>
        <w:rPr>
          <w:rFonts w:ascii="Times New Roman" w:hAnsi="Times New Roman" w:eastAsia="宋体" w:cs="Times New Roman"/>
          <w:b/>
          <w:bCs/>
          <w:color w:val="auto"/>
        </w:rPr>
        <w:t>绩效评价指标体系及综合评分表</w:t>
      </w:r>
    </w:p>
    <w:tbl>
      <w:tblPr>
        <w:tblStyle w:val="18"/>
        <w:tblW w:w="4997"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51" w:type="dxa"/>
          <w:bottom w:w="0" w:type="dxa"/>
          <w:right w:w="51" w:type="dxa"/>
        </w:tblCellMar>
      </w:tblPr>
      <w:tblGrid>
        <w:gridCol w:w="796"/>
        <w:gridCol w:w="799"/>
        <w:gridCol w:w="1044"/>
        <w:gridCol w:w="1559"/>
        <w:gridCol w:w="5452"/>
        <w:gridCol w:w="940"/>
        <w:gridCol w:w="866"/>
        <w:gridCol w:w="841"/>
        <w:gridCol w:w="827"/>
        <w:gridCol w:w="928"/>
      </w:tblGrid>
      <w:tr w14:paraId="0B1606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61" w:hRule="atLeast"/>
          <w:tblHeader/>
        </w:trPr>
        <w:tc>
          <w:tcPr>
            <w:tcW w:w="283" w:type="pct"/>
            <w:tcBorders>
              <w:tl2br w:val="nil"/>
              <w:tr2bl w:val="nil"/>
            </w:tcBorders>
            <w:shd w:val="clear" w:color="auto" w:fill="auto"/>
            <w:vAlign w:val="center"/>
          </w:tcPr>
          <w:p w14:paraId="41DFC419">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bCs/>
                <w:color w:val="auto"/>
                <w:kern w:val="0"/>
                <w:sz w:val="20"/>
                <w:szCs w:val="20"/>
                <w:lang w:bidi="ar"/>
              </w:rPr>
            </w:pPr>
            <w:r>
              <w:rPr>
                <w:rFonts w:hint="default" w:ascii="Times New Roman" w:hAnsi="Times New Roman" w:eastAsia="宋体" w:cs="Times New Roman"/>
                <w:b/>
                <w:bCs/>
                <w:color w:val="auto"/>
                <w:kern w:val="0"/>
                <w:sz w:val="20"/>
                <w:szCs w:val="20"/>
                <w:lang w:bidi="ar"/>
              </w:rPr>
              <w:t>一级指标</w:t>
            </w:r>
          </w:p>
        </w:tc>
        <w:tc>
          <w:tcPr>
            <w:tcW w:w="284" w:type="pct"/>
            <w:tcBorders>
              <w:tl2br w:val="nil"/>
              <w:tr2bl w:val="nil"/>
            </w:tcBorders>
            <w:shd w:val="clear" w:color="auto" w:fill="auto"/>
            <w:vAlign w:val="center"/>
          </w:tcPr>
          <w:p w14:paraId="79342C32">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二级指标</w:t>
            </w:r>
          </w:p>
        </w:tc>
        <w:tc>
          <w:tcPr>
            <w:tcW w:w="371" w:type="pct"/>
            <w:tcBorders>
              <w:tl2br w:val="nil"/>
              <w:tr2bl w:val="nil"/>
            </w:tcBorders>
            <w:shd w:val="clear" w:color="auto" w:fill="auto"/>
            <w:vAlign w:val="center"/>
          </w:tcPr>
          <w:p w14:paraId="14C59396">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三级指标</w:t>
            </w:r>
          </w:p>
        </w:tc>
        <w:tc>
          <w:tcPr>
            <w:tcW w:w="554" w:type="pct"/>
            <w:tcBorders>
              <w:tl2br w:val="nil"/>
              <w:tr2bl w:val="nil"/>
            </w:tcBorders>
            <w:shd w:val="clear" w:color="auto" w:fill="auto"/>
            <w:vAlign w:val="center"/>
          </w:tcPr>
          <w:p w14:paraId="66DB0F24">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指标解释</w:t>
            </w:r>
          </w:p>
        </w:tc>
        <w:tc>
          <w:tcPr>
            <w:tcW w:w="1938" w:type="pct"/>
            <w:tcBorders>
              <w:tl2br w:val="nil"/>
              <w:tr2bl w:val="nil"/>
            </w:tcBorders>
            <w:shd w:val="clear" w:color="auto" w:fill="auto"/>
            <w:vAlign w:val="center"/>
          </w:tcPr>
          <w:p w14:paraId="19407752">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评价标准</w:t>
            </w:r>
          </w:p>
        </w:tc>
        <w:tc>
          <w:tcPr>
            <w:tcW w:w="334" w:type="pct"/>
            <w:tcBorders>
              <w:tl2br w:val="nil"/>
              <w:tr2bl w:val="nil"/>
            </w:tcBorders>
            <w:shd w:val="clear" w:color="auto" w:fill="auto"/>
            <w:vAlign w:val="center"/>
          </w:tcPr>
          <w:p w14:paraId="0527C85A">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目标值</w:t>
            </w:r>
          </w:p>
        </w:tc>
        <w:tc>
          <w:tcPr>
            <w:tcW w:w="308" w:type="pct"/>
            <w:tcBorders>
              <w:tl2br w:val="nil"/>
              <w:tr2bl w:val="nil"/>
            </w:tcBorders>
            <w:shd w:val="clear" w:color="auto" w:fill="auto"/>
            <w:vAlign w:val="center"/>
          </w:tcPr>
          <w:p w14:paraId="2CF9CCE0">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实际完成值</w:t>
            </w:r>
          </w:p>
        </w:tc>
        <w:tc>
          <w:tcPr>
            <w:tcW w:w="299" w:type="pct"/>
            <w:tcBorders>
              <w:tl2br w:val="nil"/>
              <w:tr2bl w:val="nil"/>
            </w:tcBorders>
            <w:shd w:val="clear" w:color="auto" w:fill="auto"/>
            <w:vAlign w:val="center"/>
          </w:tcPr>
          <w:p w14:paraId="5F977CC3">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标杆分值</w:t>
            </w:r>
          </w:p>
        </w:tc>
        <w:tc>
          <w:tcPr>
            <w:tcW w:w="294" w:type="pct"/>
            <w:tcBorders>
              <w:tl2br w:val="nil"/>
              <w:tr2bl w:val="nil"/>
            </w:tcBorders>
            <w:shd w:val="clear" w:color="auto" w:fill="auto"/>
            <w:vAlign w:val="center"/>
          </w:tcPr>
          <w:p w14:paraId="5590BAA1">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指标得分</w:t>
            </w:r>
          </w:p>
        </w:tc>
        <w:tc>
          <w:tcPr>
            <w:tcW w:w="330" w:type="pct"/>
            <w:tcBorders>
              <w:tl2br w:val="nil"/>
              <w:tr2bl w:val="nil"/>
            </w:tcBorders>
            <w:shd w:val="clear" w:color="auto" w:fill="auto"/>
            <w:vAlign w:val="center"/>
          </w:tcPr>
          <w:p w14:paraId="3EE1FD96">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得分率</w:t>
            </w:r>
          </w:p>
        </w:tc>
      </w:tr>
      <w:tr w14:paraId="2BC93F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61" w:hRule="atLeast"/>
          <w:tblHeader/>
        </w:trPr>
        <w:tc>
          <w:tcPr>
            <w:tcW w:w="283" w:type="pct"/>
            <w:vMerge w:val="restart"/>
            <w:tcBorders>
              <w:tl2br w:val="nil"/>
              <w:tr2bl w:val="nil"/>
            </w:tcBorders>
            <w:shd w:val="clear" w:color="auto" w:fill="auto"/>
            <w:vAlign w:val="center"/>
          </w:tcPr>
          <w:p w14:paraId="5BEC72B2">
            <w:pPr>
              <w:keepNext/>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A决策（10.00分）　</w:t>
            </w:r>
          </w:p>
        </w:tc>
        <w:tc>
          <w:tcPr>
            <w:tcW w:w="284" w:type="pct"/>
            <w:vMerge w:val="restart"/>
            <w:tcBorders>
              <w:tl2br w:val="nil"/>
              <w:tr2bl w:val="nil"/>
            </w:tcBorders>
            <w:shd w:val="clear" w:color="auto" w:fill="auto"/>
            <w:vAlign w:val="center"/>
          </w:tcPr>
          <w:p w14:paraId="0BE095C4">
            <w:pPr>
              <w:keepNext/>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A1 项目立项（3.00分）　</w:t>
            </w:r>
          </w:p>
        </w:tc>
        <w:tc>
          <w:tcPr>
            <w:tcW w:w="371" w:type="pct"/>
            <w:tcBorders>
              <w:tl2br w:val="nil"/>
              <w:tr2bl w:val="nil"/>
            </w:tcBorders>
            <w:shd w:val="clear" w:color="auto" w:fill="auto"/>
            <w:vAlign w:val="center"/>
          </w:tcPr>
          <w:p w14:paraId="7B6173D6">
            <w:pPr>
              <w:keepNext/>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A11立项依据充分性</w:t>
            </w:r>
          </w:p>
        </w:tc>
        <w:tc>
          <w:tcPr>
            <w:tcW w:w="554" w:type="pct"/>
            <w:tcBorders>
              <w:tl2br w:val="nil"/>
              <w:tr2bl w:val="nil"/>
            </w:tcBorders>
            <w:shd w:val="clear" w:color="auto" w:fill="auto"/>
            <w:vAlign w:val="center"/>
          </w:tcPr>
          <w:p w14:paraId="056122D7">
            <w:pPr>
              <w:keepNext/>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项目立项是否符合法律法规、相关政策、发展规划以及部门职责，用以反映和考核项目立项依据情况。</w:t>
            </w:r>
          </w:p>
        </w:tc>
        <w:tc>
          <w:tcPr>
            <w:tcW w:w="1938" w:type="pct"/>
            <w:tcBorders>
              <w:tl2br w:val="nil"/>
              <w:tr2bl w:val="nil"/>
            </w:tcBorders>
            <w:shd w:val="clear" w:color="auto" w:fill="auto"/>
            <w:vAlign w:val="center"/>
          </w:tcPr>
          <w:p w14:paraId="61B9AF09">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评价要点：</w:t>
            </w:r>
          </w:p>
          <w:p w14:paraId="5C3004BA">
            <w:pPr>
              <w:keepNext/>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①项目立项是否符合国家法律法规、国民经济发展规划和相关政策；</w:t>
            </w:r>
          </w:p>
          <w:p w14:paraId="19FBB5A2">
            <w:pPr>
              <w:keepNext/>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②项目立项是否符合行业发展规划和政策要求；</w:t>
            </w:r>
          </w:p>
          <w:p w14:paraId="178A4B86">
            <w:pPr>
              <w:keepNext/>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③项目立项是否与部门职责范围相符，属于部门履职所需；</w:t>
            </w:r>
          </w:p>
          <w:p w14:paraId="19D91D0B">
            <w:pPr>
              <w:keepNext/>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④项目是否属于公共财政支持范围，是否符合中央、地方事权支出责任划分原则；</w:t>
            </w:r>
          </w:p>
          <w:p w14:paraId="63E0BEFB">
            <w:pPr>
              <w:keepNext/>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⑤项目是否与相关部门同类项目或部门内部相关项目重复。</w:t>
            </w:r>
          </w:p>
          <w:p w14:paraId="631EDE1D">
            <w:pPr>
              <w:keepNext/>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以上五项中，若存在任意不符合情况，每发现一处不符扣0.5分，扣完为止。</w:t>
            </w:r>
          </w:p>
        </w:tc>
        <w:tc>
          <w:tcPr>
            <w:tcW w:w="334" w:type="pct"/>
            <w:tcBorders>
              <w:tl2br w:val="nil"/>
              <w:tr2bl w:val="nil"/>
            </w:tcBorders>
            <w:shd w:val="clear" w:color="auto" w:fill="auto"/>
            <w:vAlign w:val="center"/>
          </w:tcPr>
          <w:p w14:paraId="4F54FEB6">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充分</w:t>
            </w:r>
          </w:p>
        </w:tc>
        <w:tc>
          <w:tcPr>
            <w:tcW w:w="308" w:type="pct"/>
            <w:tcBorders>
              <w:tl2br w:val="nil"/>
              <w:tr2bl w:val="nil"/>
            </w:tcBorders>
            <w:shd w:val="clear" w:color="auto" w:fill="auto"/>
            <w:vAlign w:val="center"/>
          </w:tcPr>
          <w:p w14:paraId="5A5B7F5C">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eastAsia="宋体" w:cs="Times New Roman"/>
                <w:color w:val="auto"/>
                <w:kern w:val="0"/>
                <w:sz w:val="20"/>
                <w:szCs w:val="20"/>
                <w:lang w:val="en-US" w:eastAsia="zh-CN" w:bidi="ar"/>
              </w:rPr>
              <w:t>充分</w:t>
            </w:r>
          </w:p>
        </w:tc>
        <w:tc>
          <w:tcPr>
            <w:tcW w:w="299" w:type="pct"/>
            <w:tcBorders>
              <w:tl2br w:val="nil"/>
              <w:tr2bl w:val="nil"/>
            </w:tcBorders>
            <w:shd w:val="clear" w:color="auto" w:fill="auto"/>
            <w:vAlign w:val="center"/>
          </w:tcPr>
          <w:p w14:paraId="77B79764">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1.50</w:t>
            </w:r>
          </w:p>
        </w:tc>
        <w:tc>
          <w:tcPr>
            <w:tcW w:w="294" w:type="pct"/>
            <w:tcBorders>
              <w:tl2br w:val="nil"/>
              <w:tr2bl w:val="nil"/>
            </w:tcBorders>
            <w:shd w:val="clear" w:color="auto" w:fill="auto"/>
            <w:vAlign w:val="center"/>
          </w:tcPr>
          <w:p w14:paraId="5FDB22B1">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1.50</w:t>
            </w:r>
          </w:p>
        </w:tc>
        <w:tc>
          <w:tcPr>
            <w:tcW w:w="330" w:type="pct"/>
            <w:tcBorders>
              <w:tl2br w:val="nil"/>
              <w:tr2bl w:val="nil"/>
            </w:tcBorders>
            <w:shd w:val="clear" w:color="auto" w:fill="auto"/>
            <w:vAlign w:val="center"/>
          </w:tcPr>
          <w:p w14:paraId="2253DA8C">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10</w:t>
            </w:r>
            <w:r>
              <w:rPr>
                <w:rFonts w:hint="default" w:ascii="Times New Roman" w:hAnsi="Times New Roman" w:eastAsia="宋体" w:cs="Times New Roman"/>
                <w:color w:val="auto"/>
                <w:kern w:val="0"/>
                <w:sz w:val="20"/>
                <w:szCs w:val="20"/>
                <w:lang w:bidi="ar"/>
              </w:rPr>
              <w:t>0.00%</w:t>
            </w:r>
          </w:p>
        </w:tc>
      </w:tr>
      <w:tr w14:paraId="2B763A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61" w:hRule="atLeast"/>
          <w:tblHeader/>
        </w:trPr>
        <w:tc>
          <w:tcPr>
            <w:tcW w:w="283" w:type="pct"/>
            <w:vMerge w:val="continue"/>
            <w:tcBorders>
              <w:tl2br w:val="nil"/>
              <w:tr2bl w:val="nil"/>
            </w:tcBorders>
            <w:shd w:val="clear" w:color="auto" w:fill="auto"/>
            <w:vAlign w:val="center"/>
          </w:tcPr>
          <w:p w14:paraId="0618F767">
            <w:pPr>
              <w:keepNext/>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p>
        </w:tc>
        <w:tc>
          <w:tcPr>
            <w:tcW w:w="284" w:type="pct"/>
            <w:vMerge w:val="continue"/>
            <w:tcBorders>
              <w:tl2br w:val="nil"/>
              <w:tr2bl w:val="nil"/>
            </w:tcBorders>
            <w:shd w:val="clear" w:color="auto" w:fill="auto"/>
            <w:vAlign w:val="center"/>
          </w:tcPr>
          <w:p w14:paraId="059E89C7">
            <w:pPr>
              <w:keepNext/>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p>
        </w:tc>
        <w:tc>
          <w:tcPr>
            <w:tcW w:w="371" w:type="pct"/>
            <w:tcBorders>
              <w:tl2br w:val="nil"/>
              <w:tr2bl w:val="nil"/>
            </w:tcBorders>
            <w:shd w:val="clear" w:color="auto" w:fill="auto"/>
            <w:vAlign w:val="center"/>
          </w:tcPr>
          <w:p w14:paraId="5D246CE8">
            <w:pPr>
              <w:keepNext/>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A12立项程序规范性</w:t>
            </w:r>
          </w:p>
        </w:tc>
        <w:tc>
          <w:tcPr>
            <w:tcW w:w="554" w:type="pct"/>
            <w:tcBorders>
              <w:tl2br w:val="nil"/>
              <w:tr2bl w:val="nil"/>
            </w:tcBorders>
            <w:shd w:val="clear" w:color="auto" w:fill="auto"/>
            <w:vAlign w:val="center"/>
          </w:tcPr>
          <w:p w14:paraId="5E99235D">
            <w:pPr>
              <w:keepNext/>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项目申请、设立过程是否符合相关要求，用以反映和考核项目立项的规范情况。</w:t>
            </w:r>
          </w:p>
        </w:tc>
        <w:tc>
          <w:tcPr>
            <w:tcW w:w="1938" w:type="pct"/>
            <w:tcBorders>
              <w:tl2br w:val="nil"/>
              <w:tr2bl w:val="nil"/>
            </w:tcBorders>
            <w:shd w:val="clear" w:color="auto" w:fill="auto"/>
            <w:vAlign w:val="center"/>
          </w:tcPr>
          <w:p w14:paraId="343AB458">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评价要点：</w:t>
            </w:r>
          </w:p>
          <w:p w14:paraId="71155E45">
            <w:pPr>
              <w:keepNext/>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①项目是否按照规定的程序申请设立；</w:t>
            </w:r>
          </w:p>
          <w:p w14:paraId="444F0F33">
            <w:pPr>
              <w:keepNext/>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②审批文件、材料是否符合相关要求；</w:t>
            </w:r>
          </w:p>
          <w:p w14:paraId="040ED17A">
            <w:pPr>
              <w:keepNext/>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③事前是否已经过必要的可行性研究、专家论证、风险评估、绩效评估、集体决策。</w:t>
            </w:r>
          </w:p>
          <w:p w14:paraId="533FB077">
            <w:pPr>
              <w:keepNext/>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以上三项中，每发现一处不符扣0.5分，扣完为止。</w:t>
            </w:r>
          </w:p>
        </w:tc>
        <w:tc>
          <w:tcPr>
            <w:tcW w:w="334" w:type="pct"/>
            <w:tcBorders>
              <w:tl2br w:val="nil"/>
              <w:tr2bl w:val="nil"/>
            </w:tcBorders>
            <w:shd w:val="clear" w:color="auto" w:fill="auto"/>
            <w:vAlign w:val="center"/>
          </w:tcPr>
          <w:p w14:paraId="6E18F9BC">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合规</w:t>
            </w:r>
          </w:p>
        </w:tc>
        <w:tc>
          <w:tcPr>
            <w:tcW w:w="308" w:type="pct"/>
            <w:tcBorders>
              <w:tl2br w:val="nil"/>
              <w:tr2bl w:val="nil"/>
            </w:tcBorders>
            <w:shd w:val="clear" w:color="auto" w:fill="auto"/>
            <w:vAlign w:val="center"/>
          </w:tcPr>
          <w:p w14:paraId="5B7B8439">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合规</w:t>
            </w:r>
          </w:p>
        </w:tc>
        <w:tc>
          <w:tcPr>
            <w:tcW w:w="299" w:type="pct"/>
            <w:tcBorders>
              <w:tl2br w:val="nil"/>
              <w:tr2bl w:val="nil"/>
            </w:tcBorders>
            <w:shd w:val="clear" w:color="auto" w:fill="auto"/>
            <w:vAlign w:val="center"/>
          </w:tcPr>
          <w:p w14:paraId="483DA577">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1.50</w:t>
            </w:r>
          </w:p>
        </w:tc>
        <w:tc>
          <w:tcPr>
            <w:tcW w:w="294" w:type="pct"/>
            <w:tcBorders>
              <w:tl2br w:val="nil"/>
              <w:tr2bl w:val="nil"/>
            </w:tcBorders>
            <w:shd w:val="clear" w:color="auto" w:fill="auto"/>
            <w:vAlign w:val="center"/>
          </w:tcPr>
          <w:p w14:paraId="43302A99">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1.50</w:t>
            </w:r>
          </w:p>
        </w:tc>
        <w:tc>
          <w:tcPr>
            <w:tcW w:w="330" w:type="pct"/>
            <w:tcBorders>
              <w:tl2br w:val="nil"/>
              <w:tr2bl w:val="nil"/>
            </w:tcBorders>
            <w:shd w:val="clear" w:color="auto" w:fill="auto"/>
            <w:vAlign w:val="center"/>
          </w:tcPr>
          <w:p w14:paraId="056B5046">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10</w:t>
            </w:r>
            <w:r>
              <w:rPr>
                <w:rFonts w:hint="default" w:ascii="Times New Roman" w:hAnsi="Times New Roman" w:eastAsia="宋体" w:cs="Times New Roman"/>
                <w:color w:val="auto"/>
                <w:kern w:val="0"/>
                <w:sz w:val="20"/>
                <w:szCs w:val="20"/>
                <w:lang w:bidi="ar"/>
              </w:rPr>
              <w:t>0.00%</w:t>
            </w:r>
          </w:p>
        </w:tc>
      </w:tr>
      <w:tr w14:paraId="238509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trHeight w:val="261" w:hRule="atLeast"/>
          <w:tblHeader/>
        </w:trPr>
        <w:tc>
          <w:tcPr>
            <w:tcW w:w="283" w:type="pct"/>
            <w:vMerge w:val="continue"/>
            <w:tcBorders>
              <w:tl2br w:val="nil"/>
              <w:tr2bl w:val="nil"/>
            </w:tcBorders>
            <w:shd w:val="clear" w:color="auto" w:fill="auto"/>
            <w:vAlign w:val="center"/>
          </w:tcPr>
          <w:p w14:paraId="2EC3675C">
            <w:pPr>
              <w:keepNext/>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p>
        </w:tc>
        <w:tc>
          <w:tcPr>
            <w:tcW w:w="284" w:type="pct"/>
            <w:tcBorders>
              <w:tl2br w:val="nil"/>
              <w:tr2bl w:val="nil"/>
            </w:tcBorders>
            <w:shd w:val="clear" w:color="auto" w:fill="auto"/>
            <w:vAlign w:val="center"/>
          </w:tcPr>
          <w:p w14:paraId="4F1FBA92">
            <w:pPr>
              <w:keepNext/>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A2 绩效目标（4.00分）　</w:t>
            </w:r>
          </w:p>
        </w:tc>
        <w:tc>
          <w:tcPr>
            <w:tcW w:w="371" w:type="pct"/>
            <w:tcBorders>
              <w:tl2br w:val="nil"/>
              <w:tr2bl w:val="nil"/>
            </w:tcBorders>
            <w:shd w:val="clear" w:color="auto" w:fill="auto"/>
            <w:vAlign w:val="center"/>
          </w:tcPr>
          <w:p w14:paraId="113022A5">
            <w:pPr>
              <w:keepNext/>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A21绩效目标合理性</w:t>
            </w:r>
          </w:p>
        </w:tc>
        <w:tc>
          <w:tcPr>
            <w:tcW w:w="554" w:type="pct"/>
            <w:tcBorders>
              <w:tl2br w:val="nil"/>
              <w:tr2bl w:val="nil"/>
            </w:tcBorders>
            <w:shd w:val="clear" w:color="auto" w:fill="auto"/>
            <w:vAlign w:val="center"/>
          </w:tcPr>
          <w:p w14:paraId="441F92F1">
            <w:pPr>
              <w:keepNext/>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项目所设定的绩效目标是否依据充分，是否符合客观实际，用以反映和考核项目绩效目标与项目实施的相符情况。</w:t>
            </w:r>
          </w:p>
        </w:tc>
        <w:tc>
          <w:tcPr>
            <w:tcW w:w="1938" w:type="pct"/>
            <w:tcBorders>
              <w:tl2br w:val="nil"/>
              <w:tr2bl w:val="nil"/>
            </w:tcBorders>
            <w:shd w:val="clear" w:color="auto" w:fill="auto"/>
            <w:vAlign w:val="center"/>
          </w:tcPr>
          <w:p w14:paraId="30FF61EC">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评价要点：</w:t>
            </w:r>
          </w:p>
          <w:p w14:paraId="08F20922">
            <w:pPr>
              <w:keepNext/>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①项目是否有绩效目标；</w:t>
            </w:r>
          </w:p>
          <w:p w14:paraId="4CB1EE4D">
            <w:pPr>
              <w:keepNext/>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②项目绩效目标与实际工作内容是否具有相关性；</w:t>
            </w:r>
          </w:p>
          <w:p w14:paraId="080B9D56">
            <w:pPr>
              <w:keepNext/>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③项目预期产出效益和效果是否符合正常的业绩水平；</w:t>
            </w:r>
          </w:p>
          <w:p w14:paraId="1F435870">
            <w:pPr>
              <w:keepNext/>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④是否与预算确定的项目投资额或资金量相匹配。</w:t>
            </w:r>
          </w:p>
          <w:p w14:paraId="583CA01E">
            <w:pPr>
              <w:keepNext/>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若①不符合，则此指标不得分；若①符合，则每发现一处不符扣0.2分，扣完为止。</w:t>
            </w:r>
          </w:p>
        </w:tc>
        <w:tc>
          <w:tcPr>
            <w:tcW w:w="334" w:type="pct"/>
            <w:tcBorders>
              <w:tl2br w:val="nil"/>
              <w:tr2bl w:val="nil"/>
            </w:tcBorders>
            <w:shd w:val="clear" w:color="auto" w:fill="auto"/>
            <w:vAlign w:val="center"/>
          </w:tcPr>
          <w:p w14:paraId="002B8FE7">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合理</w:t>
            </w:r>
          </w:p>
        </w:tc>
        <w:tc>
          <w:tcPr>
            <w:tcW w:w="308" w:type="pct"/>
            <w:tcBorders>
              <w:tl2br w:val="nil"/>
              <w:tr2bl w:val="nil"/>
            </w:tcBorders>
            <w:shd w:val="clear" w:color="auto" w:fill="auto"/>
            <w:vAlign w:val="center"/>
          </w:tcPr>
          <w:p w14:paraId="3993FCC1">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合理</w:t>
            </w:r>
          </w:p>
        </w:tc>
        <w:tc>
          <w:tcPr>
            <w:tcW w:w="299" w:type="pct"/>
            <w:tcBorders>
              <w:tl2br w:val="nil"/>
              <w:tr2bl w:val="nil"/>
            </w:tcBorders>
            <w:shd w:val="clear" w:color="auto" w:fill="auto"/>
            <w:vAlign w:val="center"/>
          </w:tcPr>
          <w:p w14:paraId="4C036C4B">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2.00</w:t>
            </w:r>
          </w:p>
        </w:tc>
        <w:tc>
          <w:tcPr>
            <w:tcW w:w="294" w:type="pct"/>
            <w:tcBorders>
              <w:tl2br w:val="nil"/>
              <w:tr2bl w:val="nil"/>
            </w:tcBorders>
            <w:shd w:val="clear" w:color="auto" w:fill="auto"/>
            <w:vAlign w:val="center"/>
          </w:tcPr>
          <w:p w14:paraId="0398FB3A">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eastAsia" w:eastAsia="宋体" w:cs="Times New Roman"/>
                <w:color w:val="auto"/>
                <w:kern w:val="0"/>
                <w:sz w:val="20"/>
                <w:szCs w:val="20"/>
                <w:lang w:val="en-US" w:eastAsia="zh-CN" w:bidi="ar"/>
              </w:rPr>
              <w:t>2.0</w:t>
            </w:r>
            <w:r>
              <w:rPr>
                <w:rFonts w:hint="default" w:ascii="Times New Roman" w:hAnsi="Times New Roman" w:eastAsia="宋体" w:cs="Times New Roman"/>
                <w:color w:val="auto"/>
                <w:kern w:val="0"/>
                <w:sz w:val="20"/>
                <w:szCs w:val="20"/>
                <w:lang w:bidi="ar"/>
              </w:rPr>
              <w:t>0</w:t>
            </w:r>
          </w:p>
        </w:tc>
        <w:tc>
          <w:tcPr>
            <w:tcW w:w="330" w:type="pct"/>
            <w:tcBorders>
              <w:tl2br w:val="nil"/>
              <w:tr2bl w:val="nil"/>
            </w:tcBorders>
            <w:shd w:val="clear" w:color="auto" w:fill="auto"/>
            <w:vAlign w:val="center"/>
          </w:tcPr>
          <w:p w14:paraId="65F7721E">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10</w:t>
            </w:r>
            <w:r>
              <w:rPr>
                <w:rFonts w:hint="default" w:ascii="Times New Roman" w:hAnsi="Times New Roman" w:eastAsia="宋体" w:cs="Times New Roman"/>
                <w:color w:val="auto"/>
                <w:kern w:val="0"/>
                <w:sz w:val="20"/>
                <w:szCs w:val="20"/>
                <w:lang w:bidi="ar"/>
              </w:rPr>
              <w:t>0.00%</w:t>
            </w:r>
          </w:p>
        </w:tc>
      </w:tr>
    </w:tbl>
    <w:p w14:paraId="487732C6">
      <w:pPr>
        <w:keepNext/>
        <w:sectPr>
          <w:footerReference r:id="rId16" w:type="default"/>
          <w:pgSz w:w="16838" w:h="11906" w:orient="landscape"/>
          <w:pgMar w:top="1800" w:right="1440" w:bottom="1800" w:left="1440" w:header="851" w:footer="964" w:gutter="0"/>
          <w:pgBorders>
            <w:top w:val="none" w:sz="0" w:space="0"/>
            <w:left w:val="none" w:sz="0" w:space="0"/>
            <w:bottom w:val="none" w:sz="0" w:space="0"/>
            <w:right w:val="none" w:sz="0" w:space="0"/>
          </w:pgBorders>
          <w:pgNumType w:fmt="decimal"/>
          <w:cols w:space="425" w:num="1"/>
          <w:rtlGutter w:val="0"/>
          <w:docGrid w:type="lines" w:linePitch="312" w:charSpace="0"/>
        </w:sectPr>
      </w:pPr>
    </w:p>
    <w:tbl>
      <w:tblPr>
        <w:tblStyle w:val="18"/>
        <w:tblW w:w="4998" w:type="pct"/>
        <w:tblInd w:w="-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1" w:type="dxa"/>
          <w:bottom w:w="0" w:type="dxa"/>
          <w:right w:w="51" w:type="dxa"/>
        </w:tblCellMar>
      </w:tblPr>
      <w:tblGrid>
        <w:gridCol w:w="2"/>
        <w:gridCol w:w="784"/>
        <w:gridCol w:w="15"/>
        <w:gridCol w:w="801"/>
        <w:gridCol w:w="28"/>
        <w:gridCol w:w="1015"/>
        <w:gridCol w:w="14"/>
        <w:gridCol w:w="2035"/>
        <w:gridCol w:w="6"/>
        <w:gridCol w:w="4941"/>
        <w:gridCol w:w="2"/>
        <w:gridCol w:w="927"/>
        <w:gridCol w:w="12"/>
        <w:gridCol w:w="868"/>
        <w:gridCol w:w="6"/>
        <w:gridCol w:w="837"/>
        <w:gridCol w:w="6"/>
        <w:gridCol w:w="814"/>
        <w:gridCol w:w="8"/>
        <w:gridCol w:w="928"/>
        <w:gridCol w:w="6"/>
      </w:tblGrid>
      <w:tr w14:paraId="10D330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gridAfter w:val="1"/>
          <w:wAfter w:w="6" w:type="dxa"/>
          <w:trHeight w:val="261" w:hRule="atLeast"/>
          <w:tblHeader/>
        </w:trPr>
        <w:tc>
          <w:tcPr>
            <w:tcW w:w="801" w:type="dxa"/>
            <w:gridSpan w:val="3"/>
            <w:tcBorders>
              <w:tl2br w:val="nil"/>
              <w:tr2bl w:val="nil"/>
            </w:tcBorders>
            <w:shd w:val="clear" w:color="auto" w:fill="auto"/>
            <w:vAlign w:val="center"/>
          </w:tcPr>
          <w:p w14:paraId="30C70110">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b/>
                <w:bCs/>
                <w:color w:val="auto"/>
                <w:kern w:val="0"/>
                <w:sz w:val="20"/>
                <w:szCs w:val="20"/>
                <w:lang w:bidi="ar"/>
              </w:rPr>
              <w:t>一级指标</w:t>
            </w:r>
          </w:p>
        </w:tc>
        <w:tc>
          <w:tcPr>
            <w:tcW w:w="801" w:type="dxa"/>
            <w:tcBorders>
              <w:tl2br w:val="nil"/>
              <w:tr2bl w:val="nil"/>
            </w:tcBorders>
            <w:shd w:val="clear" w:color="auto" w:fill="auto"/>
            <w:vAlign w:val="center"/>
          </w:tcPr>
          <w:p w14:paraId="5CCB4EC6">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b/>
                <w:bCs/>
                <w:color w:val="auto"/>
                <w:kern w:val="0"/>
                <w:sz w:val="20"/>
                <w:szCs w:val="20"/>
                <w:lang w:bidi="ar"/>
              </w:rPr>
              <w:t>二级指标</w:t>
            </w:r>
          </w:p>
        </w:tc>
        <w:tc>
          <w:tcPr>
            <w:tcW w:w="1043" w:type="dxa"/>
            <w:gridSpan w:val="2"/>
            <w:tcBorders>
              <w:tl2br w:val="nil"/>
              <w:tr2bl w:val="nil"/>
            </w:tcBorders>
            <w:shd w:val="clear" w:color="auto" w:fill="auto"/>
            <w:vAlign w:val="center"/>
          </w:tcPr>
          <w:p w14:paraId="5E895858">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b/>
                <w:bCs/>
                <w:color w:val="auto"/>
                <w:kern w:val="0"/>
                <w:sz w:val="20"/>
                <w:szCs w:val="20"/>
                <w:lang w:bidi="ar"/>
              </w:rPr>
              <w:t>三级指标</w:t>
            </w:r>
          </w:p>
        </w:tc>
        <w:tc>
          <w:tcPr>
            <w:tcW w:w="2049" w:type="dxa"/>
            <w:gridSpan w:val="2"/>
            <w:tcBorders>
              <w:tl2br w:val="nil"/>
              <w:tr2bl w:val="nil"/>
            </w:tcBorders>
            <w:shd w:val="clear" w:color="auto" w:fill="auto"/>
            <w:vAlign w:val="center"/>
          </w:tcPr>
          <w:p w14:paraId="7B082446">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b/>
                <w:bCs/>
                <w:color w:val="auto"/>
                <w:kern w:val="0"/>
                <w:sz w:val="20"/>
                <w:szCs w:val="20"/>
                <w:lang w:bidi="ar"/>
              </w:rPr>
              <w:t>指标解释</w:t>
            </w:r>
          </w:p>
        </w:tc>
        <w:tc>
          <w:tcPr>
            <w:tcW w:w="4949" w:type="dxa"/>
            <w:gridSpan w:val="3"/>
            <w:tcBorders>
              <w:tl2br w:val="nil"/>
              <w:tr2bl w:val="nil"/>
            </w:tcBorders>
            <w:shd w:val="clear" w:color="auto" w:fill="auto"/>
            <w:vAlign w:val="center"/>
          </w:tcPr>
          <w:p w14:paraId="791CF8A2">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b/>
                <w:bCs/>
                <w:color w:val="auto"/>
                <w:kern w:val="0"/>
                <w:sz w:val="20"/>
                <w:szCs w:val="20"/>
                <w:lang w:bidi="ar"/>
              </w:rPr>
              <w:t>评价标准</w:t>
            </w:r>
          </w:p>
        </w:tc>
        <w:tc>
          <w:tcPr>
            <w:tcW w:w="939" w:type="dxa"/>
            <w:gridSpan w:val="2"/>
            <w:tcBorders>
              <w:tl2br w:val="nil"/>
              <w:tr2bl w:val="nil"/>
            </w:tcBorders>
            <w:shd w:val="clear" w:color="auto" w:fill="auto"/>
            <w:vAlign w:val="center"/>
          </w:tcPr>
          <w:p w14:paraId="3DE3D1E1">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b/>
                <w:bCs/>
                <w:color w:val="auto"/>
                <w:kern w:val="0"/>
                <w:sz w:val="20"/>
                <w:szCs w:val="20"/>
                <w:lang w:bidi="ar"/>
              </w:rPr>
              <w:t>目标值</w:t>
            </w:r>
          </w:p>
        </w:tc>
        <w:tc>
          <w:tcPr>
            <w:tcW w:w="868" w:type="dxa"/>
            <w:tcBorders>
              <w:tl2br w:val="nil"/>
              <w:tr2bl w:val="nil"/>
            </w:tcBorders>
            <w:shd w:val="clear" w:color="auto" w:fill="auto"/>
            <w:vAlign w:val="center"/>
          </w:tcPr>
          <w:p w14:paraId="0577F003">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b/>
                <w:bCs/>
                <w:color w:val="auto"/>
                <w:kern w:val="0"/>
                <w:sz w:val="20"/>
                <w:szCs w:val="20"/>
                <w:lang w:bidi="ar"/>
              </w:rPr>
              <w:t>实际完成值</w:t>
            </w:r>
          </w:p>
        </w:tc>
        <w:tc>
          <w:tcPr>
            <w:tcW w:w="843" w:type="dxa"/>
            <w:gridSpan w:val="2"/>
            <w:tcBorders>
              <w:tl2br w:val="nil"/>
              <w:tr2bl w:val="nil"/>
            </w:tcBorders>
            <w:shd w:val="clear" w:color="auto" w:fill="auto"/>
            <w:vAlign w:val="center"/>
          </w:tcPr>
          <w:p w14:paraId="07E40E0D">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b/>
                <w:bCs/>
                <w:color w:val="auto"/>
                <w:kern w:val="0"/>
                <w:sz w:val="20"/>
                <w:szCs w:val="20"/>
                <w:lang w:bidi="ar"/>
              </w:rPr>
              <w:t>标杆分值</w:t>
            </w:r>
          </w:p>
        </w:tc>
        <w:tc>
          <w:tcPr>
            <w:tcW w:w="828" w:type="dxa"/>
            <w:gridSpan w:val="3"/>
            <w:tcBorders>
              <w:tl2br w:val="nil"/>
              <w:tr2bl w:val="nil"/>
            </w:tcBorders>
            <w:shd w:val="clear" w:color="auto" w:fill="auto"/>
            <w:vAlign w:val="center"/>
          </w:tcPr>
          <w:p w14:paraId="0D014A0E">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b/>
                <w:bCs/>
                <w:color w:val="auto"/>
                <w:kern w:val="0"/>
                <w:sz w:val="20"/>
                <w:szCs w:val="20"/>
                <w:lang w:bidi="ar"/>
              </w:rPr>
              <w:t>指标得分</w:t>
            </w:r>
          </w:p>
        </w:tc>
        <w:tc>
          <w:tcPr>
            <w:tcW w:w="928" w:type="dxa"/>
            <w:tcBorders>
              <w:tl2br w:val="nil"/>
              <w:tr2bl w:val="nil"/>
            </w:tcBorders>
            <w:shd w:val="clear" w:color="auto" w:fill="auto"/>
            <w:vAlign w:val="center"/>
          </w:tcPr>
          <w:p w14:paraId="333AF4A5">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eastAsia="宋体" w:cs="Times New Roman"/>
                <w:b/>
                <w:bCs/>
                <w:color w:val="auto"/>
                <w:kern w:val="0"/>
                <w:sz w:val="20"/>
                <w:szCs w:val="20"/>
                <w:lang w:bidi="ar"/>
              </w:rPr>
              <w:t>得分率</w:t>
            </w:r>
          </w:p>
        </w:tc>
      </w:tr>
      <w:tr w14:paraId="036DDB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gridAfter w:val="1"/>
          <w:wAfter w:w="6" w:type="dxa"/>
          <w:trHeight w:val="261" w:hRule="atLeast"/>
        </w:trPr>
        <w:tc>
          <w:tcPr>
            <w:tcW w:w="801" w:type="dxa"/>
            <w:gridSpan w:val="3"/>
            <w:vMerge w:val="restart"/>
            <w:tcBorders>
              <w:tl2br w:val="nil"/>
              <w:tr2bl w:val="nil"/>
            </w:tcBorders>
            <w:shd w:val="clear" w:color="auto" w:fill="auto"/>
            <w:vAlign w:val="center"/>
          </w:tcPr>
          <w:p w14:paraId="2BC9E096">
            <w:pPr>
              <w:keepNext/>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p>
        </w:tc>
        <w:tc>
          <w:tcPr>
            <w:tcW w:w="801" w:type="dxa"/>
            <w:tcBorders>
              <w:tl2br w:val="nil"/>
              <w:tr2bl w:val="nil"/>
            </w:tcBorders>
            <w:shd w:val="clear" w:color="auto" w:fill="auto"/>
            <w:vAlign w:val="center"/>
          </w:tcPr>
          <w:p w14:paraId="44336B6C">
            <w:pPr>
              <w:keepNext/>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p>
        </w:tc>
        <w:tc>
          <w:tcPr>
            <w:tcW w:w="1043" w:type="dxa"/>
            <w:gridSpan w:val="2"/>
            <w:tcBorders>
              <w:tl2br w:val="nil"/>
              <w:tr2bl w:val="nil"/>
            </w:tcBorders>
            <w:shd w:val="clear" w:color="auto" w:fill="auto"/>
            <w:vAlign w:val="center"/>
          </w:tcPr>
          <w:p w14:paraId="7A8D6837">
            <w:pPr>
              <w:keepNext/>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A22绩效指标明确性</w:t>
            </w:r>
          </w:p>
        </w:tc>
        <w:tc>
          <w:tcPr>
            <w:tcW w:w="2049" w:type="dxa"/>
            <w:gridSpan w:val="2"/>
            <w:tcBorders>
              <w:tl2br w:val="nil"/>
              <w:tr2bl w:val="nil"/>
            </w:tcBorders>
            <w:shd w:val="clear" w:color="auto" w:fill="auto"/>
            <w:vAlign w:val="center"/>
          </w:tcPr>
          <w:p w14:paraId="44F5BF81">
            <w:pPr>
              <w:keepNext/>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依据绩效目标设定的绩效指标是否清晰、细化、可衡量等，用以反映和考核项目绩效目标</w:t>
            </w:r>
            <w:r>
              <w:rPr>
                <w:rFonts w:hint="eastAsia" w:eastAsia="宋体" w:cs="Times New Roman"/>
                <w:color w:val="auto"/>
                <w:kern w:val="0"/>
                <w:sz w:val="20"/>
                <w:szCs w:val="20"/>
                <w:lang w:eastAsia="zh-CN" w:bidi="ar"/>
              </w:rPr>
              <w:t>的</w:t>
            </w:r>
            <w:r>
              <w:rPr>
                <w:rFonts w:hint="default" w:ascii="Times New Roman" w:hAnsi="Times New Roman" w:eastAsia="宋体" w:cs="Times New Roman"/>
                <w:color w:val="auto"/>
                <w:kern w:val="0"/>
                <w:sz w:val="20"/>
                <w:szCs w:val="20"/>
                <w:lang w:bidi="ar"/>
              </w:rPr>
              <w:t>细化情况。</w:t>
            </w:r>
          </w:p>
        </w:tc>
        <w:tc>
          <w:tcPr>
            <w:tcW w:w="4949" w:type="dxa"/>
            <w:gridSpan w:val="3"/>
            <w:tcBorders>
              <w:tl2br w:val="nil"/>
              <w:tr2bl w:val="nil"/>
            </w:tcBorders>
            <w:shd w:val="clear" w:color="auto" w:fill="auto"/>
            <w:vAlign w:val="center"/>
          </w:tcPr>
          <w:p w14:paraId="79BCF3EF">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1"/>
                <w:szCs w:val="21"/>
                <w:lang w:bidi="ar"/>
              </w:rPr>
            </w:pPr>
            <w:r>
              <w:rPr>
                <w:rFonts w:hint="default" w:ascii="Times New Roman" w:hAnsi="Times New Roman" w:eastAsia="宋体" w:cs="Times New Roman"/>
                <w:color w:val="auto"/>
                <w:kern w:val="0"/>
                <w:sz w:val="21"/>
                <w:szCs w:val="21"/>
                <w:lang w:bidi="ar"/>
              </w:rPr>
              <w:t>评价要点：</w:t>
            </w:r>
          </w:p>
          <w:p w14:paraId="580732EA">
            <w:pPr>
              <w:keepNext/>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1"/>
                <w:szCs w:val="21"/>
                <w:lang w:bidi="ar"/>
              </w:rPr>
              <w:t>是否将项目绩效目标细化分解为具体的绩效指标，且绩效指标与项目目标任务数或计划数相对应；绩效指标指向明确，可通过清晰、可衡量的指标予以体现，指标设置清晰准确，且量化易评。每发现一处不符扣0.2分，扣完为止。</w:t>
            </w:r>
          </w:p>
        </w:tc>
        <w:tc>
          <w:tcPr>
            <w:tcW w:w="939" w:type="dxa"/>
            <w:gridSpan w:val="2"/>
            <w:tcBorders>
              <w:tl2br w:val="nil"/>
              <w:tr2bl w:val="nil"/>
            </w:tcBorders>
            <w:shd w:val="clear" w:color="auto" w:fill="auto"/>
            <w:vAlign w:val="center"/>
          </w:tcPr>
          <w:p w14:paraId="2D41DE39">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明确</w:t>
            </w:r>
          </w:p>
        </w:tc>
        <w:tc>
          <w:tcPr>
            <w:tcW w:w="868" w:type="dxa"/>
            <w:tcBorders>
              <w:tl2br w:val="nil"/>
              <w:tr2bl w:val="nil"/>
            </w:tcBorders>
            <w:shd w:val="clear" w:color="auto" w:fill="auto"/>
            <w:vAlign w:val="center"/>
          </w:tcPr>
          <w:p w14:paraId="55E3DF1D">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明确</w:t>
            </w:r>
          </w:p>
        </w:tc>
        <w:tc>
          <w:tcPr>
            <w:tcW w:w="843" w:type="dxa"/>
            <w:gridSpan w:val="2"/>
            <w:tcBorders>
              <w:tl2br w:val="nil"/>
              <w:tr2bl w:val="nil"/>
            </w:tcBorders>
            <w:shd w:val="clear" w:color="auto" w:fill="auto"/>
            <w:vAlign w:val="center"/>
          </w:tcPr>
          <w:p w14:paraId="2BDDE101">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2.00</w:t>
            </w:r>
          </w:p>
        </w:tc>
        <w:tc>
          <w:tcPr>
            <w:tcW w:w="828" w:type="dxa"/>
            <w:gridSpan w:val="3"/>
            <w:tcBorders>
              <w:tl2br w:val="nil"/>
              <w:tr2bl w:val="nil"/>
            </w:tcBorders>
            <w:shd w:val="clear" w:color="auto" w:fill="auto"/>
            <w:vAlign w:val="center"/>
          </w:tcPr>
          <w:p w14:paraId="558980F9">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2.00</w:t>
            </w:r>
          </w:p>
        </w:tc>
        <w:tc>
          <w:tcPr>
            <w:tcW w:w="928" w:type="dxa"/>
            <w:tcBorders>
              <w:tl2br w:val="nil"/>
              <w:tr2bl w:val="nil"/>
            </w:tcBorders>
            <w:shd w:val="clear" w:color="auto" w:fill="auto"/>
            <w:vAlign w:val="center"/>
          </w:tcPr>
          <w:p w14:paraId="49C40212">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10</w:t>
            </w:r>
            <w:r>
              <w:rPr>
                <w:rFonts w:hint="default" w:ascii="Times New Roman" w:hAnsi="Times New Roman" w:eastAsia="宋体" w:cs="Times New Roman"/>
                <w:color w:val="auto"/>
                <w:kern w:val="0"/>
                <w:sz w:val="20"/>
                <w:szCs w:val="20"/>
                <w:lang w:bidi="ar"/>
              </w:rPr>
              <w:t>0.00%</w:t>
            </w:r>
          </w:p>
        </w:tc>
      </w:tr>
      <w:tr w14:paraId="64BDD4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gridAfter w:val="1"/>
          <w:wAfter w:w="6" w:type="dxa"/>
          <w:trHeight w:val="261" w:hRule="atLeast"/>
        </w:trPr>
        <w:tc>
          <w:tcPr>
            <w:tcW w:w="801" w:type="dxa"/>
            <w:gridSpan w:val="3"/>
            <w:vMerge w:val="continue"/>
            <w:tcBorders>
              <w:tl2br w:val="nil"/>
              <w:tr2bl w:val="nil"/>
            </w:tcBorders>
            <w:shd w:val="clear" w:color="auto" w:fill="auto"/>
            <w:vAlign w:val="center"/>
          </w:tcPr>
          <w:p w14:paraId="1DC85554">
            <w:pPr>
              <w:keepNext/>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p>
        </w:tc>
        <w:tc>
          <w:tcPr>
            <w:tcW w:w="801" w:type="dxa"/>
            <w:vMerge w:val="restart"/>
            <w:tcBorders>
              <w:tl2br w:val="nil"/>
              <w:tr2bl w:val="nil"/>
            </w:tcBorders>
            <w:shd w:val="clear" w:color="auto" w:fill="auto"/>
            <w:vAlign w:val="center"/>
          </w:tcPr>
          <w:p w14:paraId="58AC44A6">
            <w:pPr>
              <w:keepNext/>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A3 资金投入（3.00分）</w:t>
            </w:r>
          </w:p>
        </w:tc>
        <w:tc>
          <w:tcPr>
            <w:tcW w:w="1043" w:type="dxa"/>
            <w:gridSpan w:val="2"/>
            <w:tcBorders>
              <w:tl2br w:val="nil"/>
              <w:tr2bl w:val="nil"/>
            </w:tcBorders>
            <w:shd w:val="clear" w:color="auto" w:fill="auto"/>
            <w:vAlign w:val="center"/>
          </w:tcPr>
          <w:p w14:paraId="01280C20">
            <w:pPr>
              <w:keepNext/>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A31预算编制科学性</w:t>
            </w:r>
          </w:p>
        </w:tc>
        <w:tc>
          <w:tcPr>
            <w:tcW w:w="2049" w:type="dxa"/>
            <w:gridSpan w:val="2"/>
            <w:tcBorders>
              <w:tl2br w:val="nil"/>
              <w:tr2bl w:val="nil"/>
            </w:tcBorders>
            <w:shd w:val="clear" w:color="auto" w:fill="auto"/>
            <w:vAlign w:val="center"/>
          </w:tcPr>
          <w:p w14:paraId="6FE179D5">
            <w:pPr>
              <w:keepNext/>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项目预算编制是否经过科学论证、有明确标准，资金额度与年度目标是否相适应，用以反映和考核项目预算编制的科学性、合理性情况。</w:t>
            </w:r>
          </w:p>
        </w:tc>
        <w:tc>
          <w:tcPr>
            <w:tcW w:w="4949" w:type="dxa"/>
            <w:gridSpan w:val="3"/>
            <w:tcBorders>
              <w:tl2br w:val="nil"/>
              <w:tr2bl w:val="nil"/>
            </w:tcBorders>
            <w:shd w:val="clear" w:color="auto" w:fill="auto"/>
            <w:vAlign w:val="center"/>
          </w:tcPr>
          <w:p w14:paraId="40B9448D">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评价要点：</w:t>
            </w:r>
          </w:p>
          <w:p w14:paraId="0CA9755A">
            <w:pPr>
              <w:keepNext/>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①预算编制是否经过科学论证；</w:t>
            </w:r>
          </w:p>
          <w:p w14:paraId="449BFDF6">
            <w:pPr>
              <w:keepNext/>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②预算内容与项目内容是否匹配；</w:t>
            </w:r>
          </w:p>
          <w:p w14:paraId="662E9D80">
            <w:pPr>
              <w:keepNext/>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③预算额度测算依据是否充分，是否按照标准编制；</w:t>
            </w:r>
          </w:p>
          <w:p w14:paraId="53831CB5">
            <w:pPr>
              <w:keepNext/>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④预算确定的项目投资额或资金量是否与工作任务相匹配。</w:t>
            </w:r>
          </w:p>
          <w:p w14:paraId="5450C1EF">
            <w:pPr>
              <w:keepNext/>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每发现一处不符扣0.5分，扣完为止。</w:t>
            </w:r>
          </w:p>
        </w:tc>
        <w:tc>
          <w:tcPr>
            <w:tcW w:w="939" w:type="dxa"/>
            <w:gridSpan w:val="2"/>
            <w:tcBorders>
              <w:tl2br w:val="nil"/>
              <w:tr2bl w:val="nil"/>
            </w:tcBorders>
            <w:shd w:val="clear" w:color="auto" w:fill="auto"/>
            <w:vAlign w:val="center"/>
          </w:tcPr>
          <w:p w14:paraId="58894EBA">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科学</w:t>
            </w:r>
          </w:p>
        </w:tc>
        <w:tc>
          <w:tcPr>
            <w:tcW w:w="868" w:type="dxa"/>
            <w:tcBorders>
              <w:tl2br w:val="nil"/>
              <w:tr2bl w:val="nil"/>
            </w:tcBorders>
            <w:shd w:val="clear" w:color="auto" w:fill="auto"/>
            <w:vAlign w:val="center"/>
          </w:tcPr>
          <w:p w14:paraId="5099728F">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科学</w:t>
            </w:r>
          </w:p>
        </w:tc>
        <w:tc>
          <w:tcPr>
            <w:tcW w:w="843" w:type="dxa"/>
            <w:gridSpan w:val="2"/>
            <w:tcBorders>
              <w:tl2br w:val="nil"/>
              <w:tr2bl w:val="nil"/>
            </w:tcBorders>
            <w:shd w:val="clear" w:color="auto" w:fill="auto"/>
            <w:vAlign w:val="center"/>
          </w:tcPr>
          <w:p w14:paraId="06579BB9">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1.50</w:t>
            </w:r>
          </w:p>
        </w:tc>
        <w:tc>
          <w:tcPr>
            <w:tcW w:w="828" w:type="dxa"/>
            <w:gridSpan w:val="3"/>
            <w:tcBorders>
              <w:tl2br w:val="nil"/>
              <w:tr2bl w:val="nil"/>
            </w:tcBorders>
            <w:shd w:val="clear" w:color="auto" w:fill="auto"/>
            <w:vAlign w:val="center"/>
          </w:tcPr>
          <w:p w14:paraId="29C5653D">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1.50</w:t>
            </w:r>
          </w:p>
        </w:tc>
        <w:tc>
          <w:tcPr>
            <w:tcW w:w="928" w:type="dxa"/>
            <w:tcBorders>
              <w:tl2br w:val="nil"/>
              <w:tr2bl w:val="nil"/>
            </w:tcBorders>
            <w:shd w:val="clear" w:color="auto" w:fill="auto"/>
            <w:vAlign w:val="center"/>
          </w:tcPr>
          <w:p w14:paraId="0E2D8F1F">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10</w:t>
            </w:r>
            <w:r>
              <w:rPr>
                <w:rFonts w:hint="default" w:ascii="Times New Roman" w:hAnsi="Times New Roman" w:eastAsia="宋体" w:cs="Times New Roman"/>
                <w:color w:val="auto"/>
                <w:kern w:val="0"/>
                <w:sz w:val="20"/>
                <w:szCs w:val="20"/>
                <w:lang w:bidi="ar"/>
              </w:rPr>
              <w:t>0.00%</w:t>
            </w:r>
          </w:p>
        </w:tc>
      </w:tr>
      <w:tr w14:paraId="523759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gridAfter w:val="1"/>
          <w:wAfter w:w="6" w:type="dxa"/>
          <w:trHeight w:val="261" w:hRule="atLeast"/>
        </w:trPr>
        <w:tc>
          <w:tcPr>
            <w:tcW w:w="801" w:type="dxa"/>
            <w:gridSpan w:val="3"/>
            <w:vMerge w:val="continue"/>
            <w:tcBorders>
              <w:tl2br w:val="nil"/>
              <w:tr2bl w:val="nil"/>
            </w:tcBorders>
            <w:shd w:val="clear" w:color="auto" w:fill="auto"/>
            <w:vAlign w:val="center"/>
          </w:tcPr>
          <w:p w14:paraId="553D3006">
            <w:pPr>
              <w:keepNext/>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p>
        </w:tc>
        <w:tc>
          <w:tcPr>
            <w:tcW w:w="801" w:type="dxa"/>
            <w:vMerge w:val="continue"/>
            <w:tcBorders>
              <w:tl2br w:val="nil"/>
              <w:tr2bl w:val="nil"/>
            </w:tcBorders>
            <w:shd w:val="clear" w:color="auto" w:fill="auto"/>
            <w:vAlign w:val="center"/>
          </w:tcPr>
          <w:p w14:paraId="4943C2A5">
            <w:pPr>
              <w:keepNext/>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p>
        </w:tc>
        <w:tc>
          <w:tcPr>
            <w:tcW w:w="1043" w:type="dxa"/>
            <w:gridSpan w:val="2"/>
            <w:tcBorders>
              <w:tl2br w:val="nil"/>
              <w:tr2bl w:val="nil"/>
            </w:tcBorders>
            <w:shd w:val="clear" w:color="auto" w:fill="auto"/>
            <w:vAlign w:val="center"/>
          </w:tcPr>
          <w:p w14:paraId="3215039F">
            <w:pPr>
              <w:keepNext/>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A32资金分配合理性</w:t>
            </w:r>
          </w:p>
        </w:tc>
        <w:tc>
          <w:tcPr>
            <w:tcW w:w="2049" w:type="dxa"/>
            <w:gridSpan w:val="2"/>
            <w:tcBorders>
              <w:tl2br w:val="nil"/>
              <w:tr2bl w:val="nil"/>
            </w:tcBorders>
            <w:shd w:val="clear" w:color="auto" w:fill="auto"/>
            <w:vAlign w:val="center"/>
          </w:tcPr>
          <w:p w14:paraId="4015A3CA">
            <w:pPr>
              <w:keepNext/>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项目预算资金分配是否有测算依据，与补助单位或地方实际是否相适应，用以反映和考核项目预算资金分配的科学性、合理性情况。</w:t>
            </w:r>
          </w:p>
        </w:tc>
        <w:tc>
          <w:tcPr>
            <w:tcW w:w="4949" w:type="dxa"/>
            <w:gridSpan w:val="3"/>
            <w:tcBorders>
              <w:tl2br w:val="nil"/>
              <w:tr2bl w:val="nil"/>
            </w:tcBorders>
            <w:shd w:val="clear" w:color="auto" w:fill="auto"/>
            <w:vAlign w:val="center"/>
          </w:tcPr>
          <w:p w14:paraId="3A7A9111">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评价要点：</w:t>
            </w:r>
          </w:p>
          <w:p w14:paraId="5CC131A4">
            <w:pPr>
              <w:keepNext/>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①预算资金分配依据是否充分；</w:t>
            </w:r>
          </w:p>
          <w:p w14:paraId="148C6068">
            <w:pPr>
              <w:keepNext/>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②资金分配额度是否合理，与项目单位或地方实际是否相适应。</w:t>
            </w:r>
          </w:p>
          <w:p w14:paraId="21A9CCCA">
            <w:pPr>
              <w:keepNext/>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以上每发现一处不符扣0.5分，扣完为止。</w:t>
            </w:r>
          </w:p>
        </w:tc>
        <w:tc>
          <w:tcPr>
            <w:tcW w:w="939" w:type="dxa"/>
            <w:gridSpan w:val="2"/>
            <w:tcBorders>
              <w:tl2br w:val="nil"/>
              <w:tr2bl w:val="nil"/>
            </w:tcBorders>
            <w:shd w:val="clear" w:color="auto" w:fill="auto"/>
            <w:vAlign w:val="center"/>
          </w:tcPr>
          <w:p w14:paraId="6FCD457B">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合理</w:t>
            </w:r>
          </w:p>
        </w:tc>
        <w:tc>
          <w:tcPr>
            <w:tcW w:w="868" w:type="dxa"/>
            <w:tcBorders>
              <w:tl2br w:val="nil"/>
              <w:tr2bl w:val="nil"/>
            </w:tcBorders>
            <w:shd w:val="clear" w:color="auto" w:fill="auto"/>
            <w:vAlign w:val="center"/>
          </w:tcPr>
          <w:p w14:paraId="6435D496">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合理</w:t>
            </w:r>
          </w:p>
        </w:tc>
        <w:tc>
          <w:tcPr>
            <w:tcW w:w="843" w:type="dxa"/>
            <w:gridSpan w:val="2"/>
            <w:tcBorders>
              <w:tl2br w:val="nil"/>
              <w:tr2bl w:val="nil"/>
            </w:tcBorders>
            <w:shd w:val="clear" w:color="auto" w:fill="auto"/>
            <w:vAlign w:val="center"/>
          </w:tcPr>
          <w:p w14:paraId="1C7272F6">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1.50</w:t>
            </w:r>
          </w:p>
        </w:tc>
        <w:tc>
          <w:tcPr>
            <w:tcW w:w="828" w:type="dxa"/>
            <w:gridSpan w:val="3"/>
            <w:tcBorders>
              <w:tl2br w:val="nil"/>
              <w:tr2bl w:val="nil"/>
            </w:tcBorders>
            <w:shd w:val="clear" w:color="auto" w:fill="auto"/>
            <w:vAlign w:val="center"/>
          </w:tcPr>
          <w:p w14:paraId="7782AC48">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1.50</w:t>
            </w:r>
          </w:p>
        </w:tc>
        <w:tc>
          <w:tcPr>
            <w:tcW w:w="928" w:type="dxa"/>
            <w:tcBorders>
              <w:tl2br w:val="nil"/>
              <w:tr2bl w:val="nil"/>
            </w:tcBorders>
            <w:shd w:val="clear" w:color="auto" w:fill="auto"/>
            <w:vAlign w:val="center"/>
          </w:tcPr>
          <w:p w14:paraId="18869219">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10</w:t>
            </w:r>
            <w:r>
              <w:rPr>
                <w:rFonts w:hint="default" w:ascii="Times New Roman" w:hAnsi="Times New Roman" w:eastAsia="宋体" w:cs="Times New Roman"/>
                <w:color w:val="auto"/>
                <w:kern w:val="0"/>
                <w:sz w:val="20"/>
                <w:szCs w:val="20"/>
                <w:lang w:bidi="ar"/>
              </w:rPr>
              <w:t>0.00%</w:t>
            </w:r>
          </w:p>
        </w:tc>
      </w:tr>
      <w:tr w14:paraId="285DB2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gridAfter w:val="1"/>
          <w:wAfter w:w="6" w:type="dxa"/>
          <w:trHeight w:val="261" w:hRule="atLeast"/>
        </w:trPr>
        <w:tc>
          <w:tcPr>
            <w:tcW w:w="9643" w:type="dxa"/>
            <w:gridSpan w:val="11"/>
            <w:tcBorders>
              <w:tl2br w:val="nil"/>
              <w:tr2bl w:val="nil"/>
            </w:tcBorders>
            <w:shd w:val="clear" w:color="auto" w:fill="auto"/>
            <w:vAlign w:val="center"/>
          </w:tcPr>
          <w:p w14:paraId="36BE8440">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小计</w:t>
            </w:r>
          </w:p>
        </w:tc>
        <w:tc>
          <w:tcPr>
            <w:tcW w:w="939" w:type="dxa"/>
            <w:gridSpan w:val="2"/>
            <w:tcBorders>
              <w:tl2br w:val="nil"/>
              <w:tr2bl w:val="nil"/>
            </w:tcBorders>
            <w:shd w:val="clear" w:color="auto" w:fill="auto"/>
            <w:vAlign w:val="center"/>
          </w:tcPr>
          <w:p w14:paraId="6845379D">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lang w:bidi="ar"/>
              </w:rPr>
            </w:pPr>
          </w:p>
        </w:tc>
        <w:tc>
          <w:tcPr>
            <w:tcW w:w="868" w:type="dxa"/>
            <w:tcBorders>
              <w:tl2br w:val="nil"/>
              <w:tr2bl w:val="nil"/>
            </w:tcBorders>
            <w:shd w:val="clear" w:color="auto" w:fill="auto"/>
            <w:vAlign w:val="center"/>
          </w:tcPr>
          <w:p w14:paraId="67A86B58">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lang w:bidi="ar"/>
              </w:rPr>
            </w:pPr>
          </w:p>
        </w:tc>
        <w:tc>
          <w:tcPr>
            <w:tcW w:w="843" w:type="dxa"/>
            <w:gridSpan w:val="2"/>
            <w:tcBorders>
              <w:tl2br w:val="nil"/>
              <w:tr2bl w:val="nil"/>
            </w:tcBorders>
            <w:shd w:val="clear" w:color="auto" w:fill="auto"/>
            <w:vAlign w:val="center"/>
          </w:tcPr>
          <w:p w14:paraId="1F9CE180">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10.00</w:t>
            </w:r>
          </w:p>
        </w:tc>
        <w:tc>
          <w:tcPr>
            <w:tcW w:w="828" w:type="dxa"/>
            <w:gridSpan w:val="3"/>
            <w:tcBorders>
              <w:tl2br w:val="nil"/>
              <w:tr2bl w:val="nil"/>
            </w:tcBorders>
            <w:shd w:val="clear" w:color="auto" w:fill="auto"/>
            <w:vAlign w:val="center"/>
          </w:tcPr>
          <w:p w14:paraId="5CBD18BE">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10.00</w:t>
            </w:r>
          </w:p>
        </w:tc>
        <w:tc>
          <w:tcPr>
            <w:tcW w:w="928" w:type="dxa"/>
            <w:tcBorders>
              <w:tl2br w:val="nil"/>
              <w:tr2bl w:val="nil"/>
            </w:tcBorders>
            <w:shd w:val="clear" w:color="auto" w:fill="auto"/>
            <w:vAlign w:val="center"/>
          </w:tcPr>
          <w:p w14:paraId="121FCADF">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1</w:t>
            </w:r>
            <w:r>
              <w:rPr>
                <w:rFonts w:hint="eastAsia" w:eastAsia="宋体" w:cs="Times New Roman"/>
                <w:color w:val="auto"/>
                <w:kern w:val="0"/>
                <w:sz w:val="20"/>
                <w:szCs w:val="20"/>
                <w:lang w:val="en-US" w:eastAsia="zh-CN" w:bidi="ar"/>
              </w:rPr>
              <w:t>0</w:t>
            </w:r>
            <w:r>
              <w:rPr>
                <w:rFonts w:hint="default" w:ascii="Times New Roman" w:hAnsi="Times New Roman" w:eastAsia="宋体" w:cs="Times New Roman"/>
                <w:color w:val="auto"/>
                <w:kern w:val="0"/>
                <w:sz w:val="20"/>
                <w:szCs w:val="20"/>
                <w:lang w:bidi="ar"/>
              </w:rPr>
              <w:t>0.00%</w:t>
            </w:r>
          </w:p>
        </w:tc>
      </w:tr>
      <w:tr w14:paraId="15D21D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gridAfter w:val="1"/>
          <w:wAfter w:w="6" w:type="dxa"/>
          <w:trHeight w:val="261" w:hRule="atLeast"/>
        </w:trPr>
        <w:tc>
          <w:tcPr>
            <w:tcW w:w="801" w:type="dxa"/>
            <w:gridSpan w:val="3"/>
            <w:vMerge w:val="restart"/>
            <w:tcBorders>
              <w:tl2br w:val="nil"/>
              <w:tr2bl w:val="nil"/>
            </w:tcBorders>
            <w:shd w:val="clear" w:color="auto" w:fill="auto"/>
            <w:vAlign w:val="center"/>
          </w:tcPr>
          <w:p w14:paraId="3F844277">
            <w:pPr>
              <w:keepNext/>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B过程（25.00分）</w:t>
            </w:r>
          </w:p>
        </w:tc>
        <w:tc>
          <w:tcPr>
            <w:tcW w:w="801" w:type="dxa"/>
            <w:vMerge w:val="restart"/>
            <w:tcBorders>
              <w:tl2br w:val="nil"/>
              <w:tr2bl w:val="nil"/>
            </w:tcBorders>
            <w:shd w:val="clear" w:color="auto" w:fill="auto"/>
            <w:vAlign w:val="center"/>
          </w:tcPr>
          <w:p w14:paraId="01D09184">
            <w:pPr>
              <w:keepNext/>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B1 资金管理（13.00分）　</w:t>
            </w:r>
          </w:p>
        </w:tc>
        <w:tc>
          <w:tcPr>
            <w:tcW w:w="1043" w:type="dxa"/>
            <w:gridSpan w:val="2"/>
            <w:tcBorders>
              <w:tl2br w:val="nil"/>
              <w:tr2bl w:val="nil"/>
            </w:tcBorders>
            <w:shd w:val="clear" w:color="auto" w:fill="auto"/>
            <w:vAlign w:val="center"/>
          </w:tcPr>
          <w:p w14:paraId="43CA6C64">
            <w:pPr>
              <w:keepNext/>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B11资金到位率</w:t>
            </w:r>
          </w:p>
        </w:tc>
        <w:tc>
          <w:tcPr>
            <w:tcW w:w="2049" w:type="dxa"/>
            <w:gridSpan w:val="2"/>
            <w:tcBorders>
              <w:tl2br w:val="nil"/>
              <w:tr2bl w:val="nil"/>
            </w:tcBorders>
            <w:shd w:val="clear" w:color="auto" w:fill="auto"/>
            <w:vAlign w:val="center"/>
          </w:tcPr>
          <w:p w14:paraId="1E895CB5">
            <w:pPr>
              <w:keepNext/>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实际到位资金与预算资金的比率，用以反映和考核资金落实情况对项目实施的总体保障程度。</w:t>
            </w:r>
          </w:p>
        </w:tc>
        <w:tc>
          <w:tcPr>
            <w:tcW w:w="4949" w:type="dxa"/>
            <w:gridSpan w:val="3"/>
            <w:tcBorders>
              <w:tl2br w:val="nil"/>
              <w:tr2bl w:val="nil"/>
            </w:tcBorders>
            <w:shd w:val="clear" w:color="auto" w:fill="auto"/>
            <w:vAlign w:val="center"/>
          </w:tcPr>
          <w:p w14:paraId="29918D18">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资金到位率=（实际到位资金/预算资金）×100%。</w:t>
            </w:r>
          </w:p>
          <w:p w14:paraId="07AFCA1D">
            <w:pPr>
              <w:keepNext/>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项目完成且资金到位数满足年度预算规模需求，得3分；项目尚未完成，资金到位率小于100%且大于等于80%的得2分，资金到位率小于80%且大于等于60%的得1.50分，资金到位率小于60%的不得分。</w:t>
            </w:r>
          </w:p>
        </w:tc>
        <w:tc>
          <w:tcPr>
            <w:tcW w:w="939" w:type="dxa"/>
            <w:gridSpan w:val="2"/>
            <w:tcBorders>
              <w:tl2br w:val="nil"/>
              <w:tr2bl w:val="nil"/>
            </w:tcBorders>
            <w:shd w:val="clear" w:color="auto" w:fill="auto"/>
            <w:vAlign w:val="center"/>
          </w:tcPr>
          <w:p w14:paraId="036E08DF">
            <w:pPr>
              <w:keepNext/>
              <w:keepLines w:val="0"/>
              <w:widowControl/>
              <w:suppressLineNumbers w:val="0"/>
              <w:ind w:left="0" w:leftChars="0" w:firstLine="0" w:firstLineChars="0"/>
              <w:jc w:val="center"/>
              <w:textAlignment w:val="center"/>
              <w:rPr>
                <w:rFonts w:ascii="Times New Roman" w:hAnsi="Times New Roman" w:eastAsia="宋体" w:cs="Times New Roman"/>
                <w:color w:val="auto"/>
                <w:kern w:val="0"/>
                <w:sz w:val="21"/>
                <w:szCs w:val="21"/>
                <w:lang w:bidi="ar"/>
              </w:rPr>
            </w:pPr>
            <w:r>
              <w:rPr>
                <w:rFonts w:hint="default" w:ascii="Times New Roman" w:hAnsi="Times New Roman" w:eastAsia="宋体" w:cs="Times New Roman"/>
                <w:i w:val="0"/>
                <w:iCs w:val="0"/>
                <w:color w:val="auto"/>
                <w:kern w:val="0"/>
                <w:sz w:val="20"/>
                <w:szCs w:val="20"/>
                <w:u w:val="none"/>
                <w:lang w:val="en-US" w:eastAsia="zh-CN" w:bidi="ar"/>
              </w:rPr>
              <w:t>100.00%</w:t>
            </w:r>
          </w:p>
        </w:tc>
        <w:tc>
          <w:tcPr>
            <w:tcW w:w="868" w:type="dxa"/>
            <w:tcBorders>
              <w:tl2br w:val="nil"/>
              <w:tr2bl w:val="nil"/>
            </w:tcBorders>
            <w:shd w:val="clear" w:color="auto" w:fill="auto"/>
            <w:vAlign w:val="center"/>
          </w:tcPr>
          <w:p w14:paraId="0C4FB8B4">
            <w:pPr>
              <w:keepNext/>
              <w:keepLines w:val="0"/>
              <w:widowControl/>
              <w:suppressLineNumbers w:val="0"/>
              <w:ind w:left="0" w:leftChars="0" w:firstLine="0" w:firstLineChars="0"/>
              <w:jc w:val="center"/>
              <w:textAlignment w:val="center"/>
              <w:rPr>
                <w:rFonts w:ascii="Times New Roman" w:hAnsi="Times New Roman" w:eastAsia="宋体" w:cs="Times New Roman"/>
                <w:color w:val="auto"/>
                <w:kern w:val="0"/>
                <w:sz w:val="21"/>
                <w:szCs w:val="21"/>
                <w:lang w:bidi="ar"/>
              </w:rPr>
            </w:pPr>
            <w:r>
              <w:rPr>
                <w:rFonts w:hint="default" w:ascii="Times New Roman" w:hAnsi="Times New Roman" w:eastAsia="宋体" w:cs="Times New Roman"/>
                <w:i w:val="0"/>
                <w:iCs w:val="0"/>
                <w:color w:val="auto"/>
                <w:kern w:val="0"/>
                <w:sz w:val="20"/>
                <w:szCs w:val="20"/>
                <w:u w:val="none"/>
                <w:lang w:val="en-US" w:eastAsia="zh-CN" w:bidi="ar"/>
              </w:rPr>
              <w:t>100.00%</w:t>
            </w:r>
          </w:p>
        </w:tc>
        <w:tc>
          <w:tcPr>
            <w:tcW w:w="843" w:type="dxa"/>
            <w:gridSpan w:val="2"/>
            <w:tcBorders>
              <w:tl2br w:val="nil"/>
              <w:tr2bl w:val="nil"/>
            </w:tcBorders>
            <w:shd w:val="clear" w:color="auto" w:fill="auto"/>
            <w:vAlign w:val="center"/>
          </w:tcPr>
          <w:p w14:paraId="021C9B7C">
            <w:pPr>
              <w:keepNext/>
              <w:keepLines w:val="0"/>
              <w:widowControl/>
              <w:suppressLineNumbers w:val="0"/>
              <w:ind w:left="0" w:leftChars="0" w:firstLine="0" w:firstLineChars="0"/>
              <w:jc w:val="center"/>
              <w:textAlignment w:val="center"/>
              <w:rPr>
                <w:rFonts w:ascii="Times New Roman" w:hAnsi="Times New Roman" w:eastAsia="宋体" w:cs="Times New Roman"/>
                <w:color w:val="auto"/>
                <w:kern w:val="0"/>
                <w:sz w:val="21"/>
                <w:szCs w:val="21"/>
                <w:lang w:bidi="ar"/>
              </w:rPr>
            </w:pPr>
            <w:r>
              <w:rPr>
                <w:rFonts w:hint="default" w:ascii="Times New Roman" w:hAnsi="Times New Roman" w:eastAsia="宋体" w:cs="Times New Roman"/>
                <w:i w:val="0"/>
                <w:iCs w:val="0"/>
                <w:color w:val="auto"/>
                <w:kern w:val="0"/>
                <w:sz w:val="20"/>
                <w:szCs w:val="20"/>
                <w:u w:val="none"/>
                <w:lang w:val="en-US" w:eastAsia="zh-CN" w:bidi="ar"/>
              </w:rPr>
              <w:t>3.00</w:t>
            </w:r>
          </w:p>
        </w:tc>
        <w:tc>
          <w:tcPr>
            <w:tcW w:w="828" w:type="dxa"/>
            <w:gridSpan w:val="3"/>
            <w:tcBorders>
              <w:tl2br w:val="nil"/>
              <w:tr2bl w:val="nil"/>
            </w:tcBorders>
            <w:shd w:val="clear" w:color="auto" w:fill="auto"/>
            <w:vAlign w:val="center"/>
          </w:tcPr>
          <w:p w14:paraId="2FADB705">
            <w:pPr>
              <w:keepNext/>
              <w:keepLines w:val="0"/>
              <w:widowControl/>
              <w:suppressLineNumbers w:val="0"/>
              <w:ind w:left="0" w:leftChars="0" w:firstLine="0" w:firstLineChars="0"/>
              <w:jc w:val="center"/>
              <w:textAlignment w:val="center"/>
              <w:rPr>
                <w:rFonts w:ascii="Times New Roman" w:hAnsi="Times New Roman" w:eastAsia="宋体" w:cs="Times New Roman"/>
                <w:color w:val="auto"/>
                <w:kern w:val="0"/>
                <w:sz w:val="21"/>
                <w:szCs w:val="21"/>
                <w:lang w:bidi="ar"/>
              </w:rPr>
            </w:pPr>
            <w:r>
              <w:rPr>
                <w:rFonts w:hint="default" w:ascii="Times New Roman" w:hAnsi="Times New Roman" w:eastAsia="宋体" w:cs="Times New Roman"/>
                <w:i w:val="0"/>
                <w:iCs w:val="0"/>
                <w:color w:val="auto"/>
                <w:kern w:val="0"/>
                <w:sz w:val="20"/>
                <w:szCs w:val="20"/>
                <w:u w:val="none"/>
                <w:lang w:val="en-US" w:eastAsia="zh-CN" w:bidi="ar"/>
              </w:rPr>
              <w:t>3.00</w:t>
            </w:r>
          </w:p>
        </w:tc>
        <w:tc>
          <w:tcPr>
            <w:tcW w:w="928" w:type="dxa"/>
            <w:tcBorders>
              <w:tl2br w:val="nil"/>
              <w:tr2bl w:val="nil"/>
            </w:tcBorders>
            <w:shd w:val="clear" w:color="auto" w:fill="auto"/>
            <w:vAlign w:val="center"/>
          </w:tcPr>
          <w:p w14:paraId="676BCE29">
            <w:pPr>
              <w:keepNext/>
              <w:keepLines w:val="0"/>
              <w:widowControl/>
              <w:suppressLineNumbers w:val="0"/>
              <w:ind w:left="0" w:leftChars="0" w:firstLine="0" w:firstLineChars="0"/>
              <w:jc w:val="center"/>
              <w:textAlignment w:val="center"/>
              <w:rPr>
                <w:rFonts w:ascii="Times New Roman" w:hAnsi="Times New Roman" w:eastAsia="宋体" w:cs="Times New Roman"/>
                <w:color w:val="auto"/>
                <w:kern w:val="0"/>
                <w:sz w:val="21"/>
                <w:szCs w:val="21"/>
                <w:lang w:bidi="ar"/>
              </w:rPr>
            </w:pPr>
            <w:r>
              <w:rPr>
                <w:rFonts w:hint="default" w:ascii="Times New Roman" w:hAnsi="Times New Roman" w:eastAsia="宋体" w:cs="Times New Roman"/>
                <w:i w:val="0"/>
                <w:iCs w:val="0"/>
                <w:color w:val="auto"/>
                <w:kern w:val="0"/>
                <w:sz w:val="20"/>
                <w:szCs w:val="20"/>
                <w:u w:val="none"/>
                <w:lang w:val="en-US" w:eastAsia="zh-CN" w:bidi="ar"/>
              </w:rPr>
              <w:t>100.00%</w:t>
            </w:r>
          </w:p>
        </w:tc>
      </w:tr>
      <w:tr w14:paraId="31C406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gridAfter w:val="1"/>
          <w:wAfter w:w="6" w:type="dxa"/>
          <w:trHeight w:val="261" w:hRule="atLeast"/>
        </w:trPr>
        <w:tc>
          <w:tcPr>
            <w:tcW w:w="801" w:type="dxa"/>
            <w:gridSpan w:val="3"/>
            <w:vMerge w:val="continue"/>
            <w:tcBorders>
              <w:tl2br w:val="nil"/>
              <w:tr2bl w:val="nil"/>
            </w:tcBorders>
            <w:shd w:val="clear" w:color="auto" w:fill="auto"/>
            <w:vAlign w:val="center"/>
          </w:tcPr>
          <w:p w14:paraId="653D4E3D">
            <w:pPr>
              <w:keepNext/>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p>
        </w:tc>
        <w:tc>
          <w:tcPr>
            <w:tcW w:w="801" w:type="dxa"/>
            <w:vMerge w:val="continue"/>
            <w:tcBorders>
              <w:tl2br w:val="nil"/>
              <w:tr2bl w:val="nil"/>
            </w:tcBorders>
            <w:shd w:val="clear" w:color="auto" w:fill="auto"/>
            <w:vAlign w:val="center"/>
          </w:tcPr>
          <w:p w14:paraId="2F40891B">
            <w:pPr>
              <w:keepNext/>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p>
        </w:tc>
        <w:tc>
          <w:tcPr>
            <w:tcW w:w="1043" w:type="dxa"/>
            <w:gridSpan w:val="2"/>
            <w:tcBorders>
              <w:tl2br w:val="nil"/>
              <w:tr2bl w:val="nil"/>
            </w:tcBorders>
            <w:shd w:val="clear" w:color="auto" w:fill="auto"/>
            <w:vAlign w:val="center"/>
          </w:tcPr>
          <w:p w14:paraId="30399E14">
            <w:pPr>
              <w:keepNext/>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B12预算执行率</w:t>
            </w:r>
          </w:p>
        </w:tc>
        <w:tc>
          <w:tcPr>
            <w:tcW w:w="2049" w:type="dxa"/>
            <w:gridSpan w:val="2"/>
            <w:tcBorders>
              <w:tl2br w:val="nil"/>
              <w:tr2bl w:val="nil"/>
            </w:tcBorders>
            <w:shd w:val="clear" w:color="auto" w:fill="auto"/>
            <w:vAlign w:val="center"/>
          </w:tcPr>
          <w:p w14:paraId="36E14018">
            <w:pPr>
              <w:keepNext/>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项目预算资金是否按照计划执行，用以反映或考核项目预算执行情况。</w:t>
            </w:r>
          </w:p>
        </w:tc>
        <w:tc>
          <w:tcPr>
            <w:tcW w:w="4949" w:type="dxa"/>
            <w:gridSpan w:val="3"/>
            <w:tcBorders>
              <w:tl2br w:val="nil"/>
              <w:tr2bl w:val="nil"/>
            </w:tcBorders>
            <w:shd w:val="clear" w:color="auto" w:fill="auto"/>
            <w:vAlign w:val="center"/>
          </w:tcPr>
          <w:p w14:paraId="02EC6E4A">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预算执行率=（实际支出资金/实际到位资金）×100%。</w:t>
            </w:r>
          </w:p>
          <w:p w14:paraId="37527DBF">
            <w:pPr>
              <w:keepNext/>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项目完成且执行数控制在年度预算规模之内的，得5分；项目尚未完成，预算执行率小于100%且大于等于80%的得3分，预算执行率小于80%且大于等于60%的得2分，预算执行率小于60%的不得分。</w:t>
            </w:r>
          </w:p>
        </w:tc>
        <w:tc>
          <w:tcPr>
            <w:tcW w:w="939" w:type="dxa"/>
            <w:gridSpan w:val="2"/>
            <w:tcBorders>
              <w:tl2br w:val="nil"/>
              <w:tr2bl w:val="nil"/>
            </w:tcBorders>
            <w:shd w:val="clear" w:color="auto" w:fill="auto"/>
            <w:vAlign w:val="center"/>
          </w:tcPr>
          <w:p w14:paraId="4A9637A0">
            <w:pPr>
              <w:keepNext/>
              <w:keepLines w:val="0"/>
              <w:widowControl/>
              <w:suppressLineNumbers w:val="0"/>
              <w:ind w:left="0" w:leftChars="0" w:firstLine="0" w:firstLineChars="0"/>
              <w:jc w:val="center"/>
              <w:textAlignment w:val="center"/>
              <w:rPr>
                <w:rFonts w:ascii="Times New Roman" w:hAnsi="Times New Roman" w:eastAsia="宋体" w:cs="Times New Roman"/>
                <w:color w:val="auto"/>
                <w:kern w:val="0"/>
                <w:sz w:val="21"/>
                <w:szCs w:val="21"/>
                <w:lang w:bidi="ar"/>
              </w:rPr>
            </w:pPr>
            <w:r>
              <w:rPr>
                <w:rFonts w:hint="default" w:ascii="Times New Roman" w:hAnsi="Times New Roman" w:eastAsia="宋体" w:cs="Times New Roman"/>
                <w:i w:val="0"/>
                <w:iCs w:val="0"/>
                <w:color w:val="auto"/>
                <w:kern w:val="0"/>
                <w:sz w:val="20"/>
                <w:szCs w:val="20"/>
                <w:u w:val="none"/>
                <w:lang w:val="en-US" w:eastAsia="zh-CN" w:bidi="ar"/>
              </w:rPr>
              <w:t>100.00%</w:t>
            </w:r>
          </w:p>
        </w:tc>
        <w:tc>
          <w:tcPr>
            <w:tcW w:w="868" w:type="dxa"/>
            <w:tcBorders>
              <w:tl2br w:val="nil"/>
              <w:tr2bl w:val="nil"/>
            </w:tcBorders>
            <w:shd w:val="clear" w:color="auto" w:fill="auto"/>
            <w:vAlign w:val="center"/>
          </w:tcPr>
          <w:p w14:paraId="6E72E9B0">
            <w:pPr>
              <w:keepNext/>
              <w:keepLines w:val="0"/>
              <w:widowControl/>
              <w:suppressLineNumbers w:val="0"/>
              <w:ind w:left="0" w:leftChars="0" w:firstLine="0" w:firstLineChars="0"/>
              <w:jc w:val="center"/>
              <w:textAlignment w:val="center"/>
              <w:rPr>
                <w:rFonts w:ascii="Times New Roman" w:hAnsi="Times New Roman" w:eastAsia="宋体" w:cs="Times New Roman"/>
                <w:color w:val="auto"/>
                <w:kern w:val="0"/>
                <w:sz w:val="21"/>
                <w:szCs w:val="21"/>
                <w:lang w:bidi="ar"/>
              </w:rPr>
            </w:pPr>
            <w:r>
              <w:rPr>
                <w:rFonts w:hint="default" w:ascii="Times New Roman" w:hAnsi="Times New Roman" w:eastAsia="宋体" w:cs="Times New Roman"/>
                <w:i w:val="0"/>
                <w:iCs w:val="0"/>
                <w:color w:val="auto"/>
                <w:kern w:val="0"/>
                <w:sz w:val="20"/>
                <w:szCs w:val="20"/>
                <w:u w:val="none"/>
                <w:lang w:val="en-US" w:eastAsia="zh-CN" w:bidi="ar"/>
              </w:rPr>
              <w:t>100.00%</w:t>
            </w:r>
          </w:p>
        </w:tc>
        <w:tc>
          <w:tcPr>
            <w:tcW w:w="843" w:type="dxa"/>
            <w:gridSpan w:val="2"/>
            <w:tcBorders>
              <w:tl2br w:val="nil"/>
              <w:tr2bl w:val="nil"/>
            </w:tcBorders>
            <w:shd w:val="clear" w:color="auto" w:fill="auto"/>
            <w:vAlign w:val="center"/>
          </w:tcPr>
          <w:p w14:paraId="392631B7">
            <w:pPr>
              <w:keepNext/>
              <w:keepLines w:val="0"/>
              <w:widowControl/>
              <w:suppressLineNumbers w:val="0"/>
              <w:ind w:left="0" w:leftChars="0" w:firstLine="0" w:firstLineChars="0"/>
              <w:jc w:val="center"/>
              <w:textAlignment w:val="center"/>
              <w:rPr>
                <w:rFonts w:ascii="Times New Roman" w:hAnsi="Times New Roman" w:eastAsia="宋体" w:cs="Times New Roman"/>
                <w:color w:val="auto"/>
                <w:kern w:val="0"/>
                <w:sz w:val="21"/>
                <w:szCs w:val="21"/>
                <w:lang w:bidi="ar"/>
              </w:rPr>
            </w:pPr>
            <w:bookmarkStart w:id="113" w:name="_GoBack"/>
            <w:bookmarkEnd w:id="113"/>
            <w:r>
              <w:rPr>
                <w:rFonts w:hint="default" w:ascii="Times New Roman" w:hAnsi="Times New Roman" w:eastAsia="宋体" w:cs="Times New Roman"/>
                <w:i w:val="0"/>
                <w:iCs w:val="0"/>
                <w:color w:val="auto"/>
                <w:kern w:val="0"/>
                <w:sz w:val="20"/>
                <w:szCs w:val="20"/>
                <w:u w:val="none"/>
                <w:lang w:val="en-US" w:eastAsia="zh-CN" w:bidi="ar"/>
              </w:rPr>
              <w:t>5.00</w:t>
            </w:r>
          </w:p>
        </w:tc>
        <w:tc>
          <w:tcPr>
            <w:tcW w:w="828" w:type="dxa"/>
            <w:gridSpan w:val="3"/>
            <w:tcBorders>
              <w:tl2br w:val="nil"/>
              <w:tr2bl w:val="nil"/>
            </w:tcBorders>
            <w:shd w:val="clear" w:color="auto" w:fill="auto"/>
            <w:vAlign w:val="center"/>
          </w:tcPr>
          <w:p w14:paraId="234C9E37">
            <w:pPr>
              <w:keepNext/>
              <w:keepLines w:val="0"/>
              <w:widowControl/>
              <w:suppressLineNumbers w:val="0"/>
              <w:ind w:left="0" w:leftChars="0" w:firstLine="0" w:firstLineChars="0"/>
              <w:jc w:val="center"/>
              <w:textAlignment w:val="center"/>
              <w:rPr>
                <w:rFonts w:ascii="Times New Roman" w:hAnsi="Times New Roman" w:eastAsia="宋体" w:cs="Times New Roman"/>
                <w:color w:val="auto"/>
                <w:kern w:val="0"/>
                <w:sz w:val="21"/>
                <w:szCs w:val="21"/>
                <w:lang w:bidi="ar"/>
              </w:rPr>
            </w:pPr>
            <w:r>
              <w:rPr>
                <w:rFonts w:hint="default" w:ascii="Times New Roman" w:hAnsi="Times New Roman" w:eastAsia="宋体" w:cs="Times New Roman"/>
                <w:i w:val="0"/>
                <w:iCs w:val="0"/>
                <w:color w:val="auto"/>
                <w:kern w:val="0"/>
                <w:sz w:val="20"/>
                <w:szCs w:val="20"/>
                <w:u w:val="none"/>
                <w:lang w:val="en-US" w:eastAsia="zh-CN" w:bidi="ar"/>
              </w:rPr>
              <w:t>5.00</w:t>
            </w:r>
          </w:p>
        </w:tc>
        <w:tc>
          <w:tcPr>
            <w:tcW w:w="928" w:type="dxa"/>
            <w:tcBorders>
              <w:tl2br w:val="nil"/>
              <w:tr2bl w:val="nil"/>
            </w:tcBorders>
            <w:shd w:val="clear" w:color="auto" w:fill="auto"/>
            <w:vAlign w:val="center"/>
          </w:tcPr>
          <w:p w14:paraId="1F0DA218">
            <w:pPr>
              <w:keepNext/>
              <w:keepLines w:val="0"/>
              <w:widowControl/>
              <w:suppressLineNumbers w:val="0"/>
              <w:ind w:left="0" w:leftChars="0" w:firstLine="0" w:firstLineChars="0"/>
              <w:jc w:val="center"/>
              <w:textAlignment w:val="center"/>
              <w:rPr>
                <w:rFonts w:ascii="Times New Roman" w:hAnsi="Times New Roman" w:eastAsia="宋体" w:cs="Times New Roman"/>
                <w:color w:val="auto"/>
                <w:kern w:val="0"/>
                <w:sz w:val="21"/>
                <w:szCs w:val="21"/>
                <w:lang w:bidi="ar"/>
              </w:rPr>
            </w:pPr>
            <w:r>
              <w:rPr>
                <w:rFonts w:hint="default" w:ascii="Times New Roman" w:hAnsi="Times New Roman" w:eastAsia="宋体" w:cs="Times New Roman"/>
                <w:i w:val="0"/>
                <w:iCs w:val="0"/>
                <w:color w:val="auto"/>
                <w:kern w:val="0"/>
                <w:sz w:val="20"/>
                <w:szCs w:val="20"/>
                <w:u w:val="none"/>
                <w:lang w:val="en-US" w:eastAsia="zh-CN" w:bidi="ar"/>
              </w:rPr>
              <w:t>100.00%</w:t>
            </w:r>
          </w:p>
        </w:tc>
      </w:tr>
      <w:tr w14:paraId="7F4631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gridAfter w:val="1"/>
          <w:wAfter w:w="6" w:type="dxa"/>
          <w:trHeight w:val="261" w:hRule="atLeast"/>
        </w:trPr>
        <w:tc>
          <w:tcPr>
            <w:tcW w:w="801" w:type="dxa"/>
            <w:gridSpan w:val="3"/>
            <w:vMerge w:val="continue"/>
            <w:tcBorders>
              <w:tl2br w:val="nil"/>
              <w:tr2bl w:val="nil"/>
            </w:tcBorders>
            <w:shd w:val="clear" w:color="auto" w:fill="auto"/>
            <w:vAlign w:val="center"/>
          </w:tcPr>
          <w:p w14:paraId="6D54315A">
            <w:pPr>
              <w:keepNext/>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p>
        </w:tc>
        <w:tc>
          <w:tcPr>
            <w:tcW w:w="801" w:type="dxa"/>
            <w:vMerge w:val="continue"/>
            <w:tcBorders>
              <w:tl2br w:val="nil"/>
              <w:tr2bl w:val="nil"/>
            </w:tcBorders>
            <w:shd w:val="clear" w:color="auto" w:fill="auto"/>
            <w:vAlign w:val="center"/>
          </w:tcPr>
          <w:p w14:paraId="73176537">
            <w:pPr>
              <w:keepNext/>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p>
        </w:tc>
        <w:tc>
          <w:tcPr>
            <w:tcW w:w="1043" w:type="dxa"/>
            <w:gridSpan w:val="2"/>
            <w:tcBorders>
              <w:tl2br w:val="nil"/>
              <w:tr2bl w:val="nil"/>
            </w:tcBorders>
            <w:shd w:val="clear" w:color="auto" w:fill="auto"/>
            <w:vAlign w:val="center"/>
          </w:tcPr>
          <w:p w14:paraId="75E8254F">
            <w:pPr>
              <w:keepNext/>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B13资金使用合规性</w:t>
            </w:r>
          </w:p>
        </w:tc>
        <w:tc>
          <w:tcPr>
            <w:tcW w:w="2049" w:type="dxa"/>
            <w:gridSpan w:val="2"/>
            <w:tcBorders>
              <w:tl2br w:val="nil"/>
              <w:tr2bl w:val="nil"/>
            </w:tcBorders>
            <w:shd w:val="clear" w:color="auto" w:fill="auto"/>
            <w:vAlign w:val="center"/>
          </w:tcPr>
          <w:p w14:paraId="7CAC7B0B">
            <w:pPr>
              <w:keepNext/>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考察项目单位资金的使用规范程度。项目资金使用是否符合相关法律法规、制度和规定，用以反映和考核项目资金使用的规范性和安全性。</w:t>
            </w:r>
          </w:p>
        </w:tc>
        <w:tc>
          <w:tcPr>
            <w:tcW w:w="4949" w:type="dxa"/>
            <w:gridSpan w:val="3"/>
            <w:tcBorders>
              <w:tl2br w:val="nil"/>
              <w:tr2bl w:val="nil"/>
            </w:tcBorders>
            <w:shd w:val="clear" w:color="auto" w:fill="auto"/>
            <w:vAlign w:val="center"/>
          </w:tcPr>
          <w:p w14:paraId="07691640">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评价要点：</w:t>
            </w:r>
          </w:p>
          <w:p w14:paraId="2C50E2A5">
            <w:pPr>
              <w:keepNext/>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①是否符合国家财经法规和财务管理制度以及有关专项资金管理办法的规定；</w:t>
            </w:r>
          </w:p>
          <w:p w14:paraId="7319158A">
            <w:pPr>
              <w:keepNext/>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②是否符合项目预算批复或合同规定的用途；</w:t>
            </w:r>
          </w:p>
          <w:p w14:paraId="44CE778E">
            <w:pPr>
              <w:keepNext/>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③是否存在截留、挤占、挪用、虚列支出等情况；</w:t>
            </w:r>
          </w:p>
          <w:p w14:paraId="5C0FE797">
            <w:pPr>
              <w:keepNext/>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④资金的拨付是否有完整的审批程序和手续。</w:t>
            </w:r>
          </w:p>
          <w:p w14:paraId="07CF186C">
            <w:pPr>
              <w:keepNext/>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以上四项不满足①或②或③时属于严重违规事项，本项指标不得分，在符合①、②和③的条件下，其他各项符合则得分，否则，每发现一处不符扣0.5分，扣完为止。</w:t>
            </w:r>
          </w:p>
        </w:tc>
        <w:tc>
          <w:tcPr>
            <w:tcW w:w="939" w:type="dxa"/>
            <w:gridSpan w:val="2"/>
            <w:tcBorders>
              <w:tl2br w:val="nil"/>
              <w:tr2bl w:val="nil"/>
            </w:tcBorders>
            <w:shd w:val="clear" w:color="auto" w:fill="auto"/>
            <w:vAlign w:val="center"/>
          </w:tcPr>
          <w:p w14:paraId="58E99B89">
            <w:pPr>
              <w:keepNext/>
              <w:keepLines w:val="0"/>
              <w:widowControl/>
              <w:suppressLineNumbers w:val="0"/>
              <w:ind w:left="0" w:leftChars="0" w:firstLine="0" w:firstLineChars="0"/>
              <w:jc w:val="center"/>
              <w:textAlignment w:val="center"/>
              <w:rPr>
                <w:rFonts w:ascii="Times New Roman" w:hAnsi="Times New Roman" w:eastAsia="宋体" w:cs="Times New Roman"/>
                <w:color w:val="auto"/>
                <w:kern w:val="0"/>
                <w:sz w:val="21"/>
                <w:szCs w:val="21"/>
                <w:lang w:bidi="ar"/>
              </w:rPr>
            </w:pPr>
            <w:r>
              <w:rPr>
                <w:rFonts w:hint="default" w:ascii="Times New Roman" w:hAnsi="Times New Roman" w:eastAsia="宋体" w:cs="Times New Roman"/>
                <w:i w:val="0"/>
                <w:iCs w:val="0"/>
                <w:color w:val="auto"/>
                <w:kern w:val="0"/>
                <w:sz w:val="20"/>
                <w:szCs w:val="20"/>
                <w:u w:val="none"/>
                <w:lang w:val="en-US" w:eastAsia="zh-CN" w:bidi="ar"/>
              </w:rPr>
              <w:t>合规</w:t>
            </w:r>
          </w:p>
        </w:tc>
        <w:tc>
          <w:tcPr>
            <w:tcW w:w="868" w:type="dxa"/>
            <w:tcBorders>
              <w:tl2br w:val="nil"/>
              <w:tr2bl w:val="nil"/>
            </w:tcBorders>
            <w:shd w:val="clear" w:color="auto" w:fill="auto"/>
            <w:vAlign w:val="center"/>
          </w:tcPr>
          <w:p w14:paraId="2CC27D24">
            <w:pPr>
              <w:keepNext/>
              <w:keepLines w:val="0"/>
              <w:widowControl/>
              <w:suppressLineNumbers w:val="0"/>
              <w:ind w:left="0" w:leftChars="0" w:firstLine="0" w:firstLineChars="0"/>
              <w:jc w:val="center"/>
              <w:textAlignment w:val="center"/>
              <w:rPr>
                <w:rFonts w:ascii="Times New Roman" w:hAnsi="Times New Roman" w:eastAsia="宋体" w:cs="Times New Roman"/>
                <w:color w:val="auto"/>
                <w:kern w:val="0"/>
                <w:sz w:val="21"/>
                <w:szCs w:val="21"/>
                <w:lang w:bidi="ar"/>
              </w:rPr>
            </w:pPr>
            <w:r>
              <w:rPr>
                <w:rFonts w:hint="eastAsia" w:eastAsia="宋体" w:cs="Times New Roman"/>
                <w:i w:val="0"/>
                <w:iCs w:val="0"/>
                <w:color w:val="auto"/>
                <w:kern w:val="0"/>
                <w:sz w:val="20"/>
                <w:szCs w:val="20"/>
                <w:u w:val="none"/>
                <w:lang w:val="en-US" w:eastAsia="zh-CN" w:bidi="ar"/>
              </w:rPr>
              <w:t>较</w:t>
            </w:r>
            <w:r>
              <w:rPr>
                <w:rFonts w:hint="default" w:ascii="Times New Roman" w:hAnsi="Times New Roman" w:eastAsia="宋体" w:cs="Times New Roman"/>
                <w:i w:val="0"/>
                <w:iCs w:val="0"/>
                <w:color w:val="auto"/>
                <w:kern w:val="0"/>
                <w:sz w:val="20"/>
                <w:szCs w:val="20"/>
                <w:u w:val="none"/>
                <w:lang w:val="en-US" w:eastAsia="zh-CN" w:bidi="ar"/>
              </w:rPr>
              <w:t>合规</w:t>
            </w:r>
          </w:p>
        </w:tc>
        <w:tc>
          <w:tcPr>
            <w:tcW w:w="843" w:type="dxa"/>
            <w:gridSpan w:val="2"/>
            <w:tcBorders>
              <w:tl2br w:val="nil"/>
              <w:tr2bl w:val="nil"/>
            </w:tcBorders>
            <w:shd w:val="clear" w:color="auto" w:fill="auto"/>
            <w:vAlign w:val="center"/>
          </w:tcPr>
          <w:p w14:paraId="6ED40EFB">
            <w:pPr>
              <w:keepNext/>
              <w:keepLines w:val="0"/>
              <w:widowControl/>
              <w:suppressLineNumbers w:val="0"/>
              <w:ind w:left="0" w:leftChars="0" w:firstLine="0" w:firstLineChars="0"/>
              <w:jc w:val="center"/>
              <w:textAlignment w:val="center"/>
              <w:rPr>
                <w:rFonts w:ascii="Times New Roman" w:hAnsi="Times New Roman" w:eastAsia="宋体" w:cs="Times New Roman"/>
                <w:color w:val="auto"/>
                <w:kern w:val="0"/>
                <w:sz w:val="21"/>
                <w:szCs w:val="21"/>
                <w:lang w:bidi="ar"/>
              </w:rPr>
            </w:pPr>
            <w:r>
              <w:rPr>
                <w:rFonts w:hint="default" w:ascii="Times New Roman" w:hAnsi="Times New Roman" w:eastAsia="宋体" w:cs="Times New Roman"/>
                <w:i w:val="0"/>
                <w:iCs w:val="0"/>
                <w:color w:val="auto"/>
                <w:kern w:val="0"/>
                <w:sz w:val="20"/>
                <w:szCs w:val="20"/>
                <w:u w:val="none"/>
                <w:lang w:val="en-US" w:eastAsia="zh-CN" w:bidi="ar"/>
              </w:rPr>
              <w:t>5.00</w:t>
            </w:r>
          </w:p>
        </w:tc>
        <w:tc>
          <w:tcPr>
            <w:tcW w:w="828" w:type="dxa"/>
            <w:gridSpan w:val="3"/>
            <w:tcBorders>
              <w:tl2br w:val="nil"/>
              <w:tr2bl w:val="nil"/>
            </w:tcBorders>
            <w:shd w:val="clear" w:color="auto" w:fill="auto"/>
            <w:vAlign w:val="center"/>
          </w:tcPr>
          <w:p w14:paraId="72F4553B">
            <w:pPr>
              <w:keepNext/>
              <w:keepLines w:val="0"/>
              <w:widowControl/>
              <w:suppressLineNumbers w:val="0"/>
              <w:ind w:left="0" w:leftChars="0" w:firstLine="0" w:firstLineChars="0"/>
              <w:jc w:val="center"/>
              <w:textAlignment w:val="center"/>
              <w:rPr>
                <w:rFonts w:hint="default" w:ascii="Times New Roman" w:hAnsi="Times New Roman" w:eastAsia="宋体" w:cs="Times New Roman"/>
                <w:color w:val="auto"/>
                <w:kern w:val="0"/>
                <w:sz w:val="21"/>
                <w:szCs w:val="21"/>
                <w:lang w:val="en-US" w:bidi="ar"/>
              </w:rPr>
            </w:pPr>
            <w:r>
              <w:rPr>
                <w:rFonts w:hint="eastAsia" w:eastAsia="宋体" w:cs="Times New Roman"/>
                <w:i w:val="0"/>
                <w:iCs w:val="0"/>
                <w:color w:val="auto"/>
                <w:kern w:val="0"/>
                <w:sz w:val="20"/>
                <w:szCs w:val="20"/>
                <w:u w:val="none"/>
                <w:lang w:val="en-US" w:eastAsia="zh-CN" w:bidi="ar"/>
              </w:rPr>
              <w:t>4.00</w:t>
            </w:r>
          </w:p>
        </w:tc>
        <w:tc>
          <w:tcPr>
            <w:tcW w:w="928" w:type="dxa"/>
            <w:tcBorders>
              <w:tl2br w:val="nil"/>
              <w:tr2bl w:val="nil"/>
            </w:tcBorders>
            <w:shd w:val="clear" w:color="auto" w:fill="auto"/>
            <w:vAlign w:val="center"/>
          </w:tcPr>
          <w:p w14:paraId="37647BE0">
            <w:pPr>
              <w:keepNext/>
              <w:keepLines w:val="0"/>
              <w:widowControl/>
              <w:suppressLineNumbers w:val="0"/>
              <w:ind w:left="0" w:leftChars="0" w:firstLine="0" w:firstLineChars="0"/>
              <w:jc w:val="center"/>
              <w:textAlignment w:val="center"/>
              <w:rPr>
                <w:rFonts w:ascii="Times New Roman" w:hAnsi="Times New Roman" w:eastAsia="宋体" w:cs="Times New Roman"/>
                <w:color w:val="auto"/>
                <w:kern w:val="0"/>
                <w:sz w:val="21"/>
                <w:szCs w:val="21"/>
                <w:lang w:bidi="ar"/>
              </w:rPr>
            </w:pPr>
            <w:r>
              <w:rPr>
                <w:rFonts w:hint="eastAsia" w:eastAsia="宋体" w:cs="Times New Roman"/>
                <w:i w:val="0"/>
                <w:iCs w:val="0"/>
                <w:color w:val="auto"/>
                <w:kern w:val="0"/>
                <w:sz w:val="20"/>
                <w:szCs w:val="20"/>
                <w:u w:val="none"/>
                <w:lang w:val="en-US" w:eastAsia="zh-CN" w:bidi="ar"/>
              </w:rPr>
              <w:t>8</w:t>
            </w:r>
            <w:r>
              <w:rPr>
                <w:rFonts w:hint="default" w:ascii="Times New Roman" w:hAnsi="Times New Roman" w:eastAsia="宋体" w:cs="Times New Roman"/>
                <w:i w:val="0"/>
                <w:iCs w:val="0"/>
                <w:color w:val="auto"/>
                <w:kern w:val="0"/>
                <w:sz w:val="20"/>
                <w:szCs w:val="20"/>
                <w:u w:val="none"/>
                <w:lang w:val="en-US" w:eastAsia="zh-CN" w:bidi="ar"/>
              </w:rPr>
              <w:t>0.00%</w:t>
            </w:r>
          </w:p>
        </w:tc>
      </w:tr>
      <w:tr w14:paraId="1C4EB9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gridAfter w:val="1"/>
          <w:wAfter w:w="6" w:type="dxa"/>
          <w:trHeight w:val="261" w:hRule="atLeast"/>
        </w:trPr>
        <w:tc>
          <w:tcPr>
            <w:tcW w:w="801" w:type="dxa"/>
            <w:gridSpan w:val="3"/>
            <w:vMerge w:val="continue"/>
            <w:tcBorders>
              <w:tl2br w:val="nil"/>
              <w:tr2bl w:val="nil"/>
            </w:tcBorders>
            <w:shd w:val="clear" w:color="auto" w:fill="auto"/>
            <w:vAlign w:val="center"/>
          </w:tcPr>
          <w:p w14:paraId="56ED634D">
            <w:pPr>
              <w:keepNext/>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p>
        </w:tc>
        <w:tc>
          <w:tcPr>
            <w:tcW w:w="801" w:type="dxa"/>
            <w:vMerge w:val="restart"/>
            <w:tcBorders>
              <w:tl2br w:val="nil"/>
              <w:tr2bl w:val="nil"/>
            </w:tcBorders>
            <w:shd w:val="clear" w:color="auto" w:fill="auto"/>
            <w:vAlign w:val="center"/>
          </w:tcPr>
          <w:p w14:paraId="57CDEDA0">
            <w:pPr>
              <w:keepNext/>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B2 组织实施（12.00分）　</w:t>
            </w:r>
          </w:p>
        </w:tc>
        <w:tc>
          <w:tcPr>
            <w:tcW w:w="1043" w:type="dxa"/>
            <w:gridSpan w:val="2"/>
            <w:tcBorders>
              <w:tl2br w:val="nil"/>
              <w:tr2bl w:val="nil"/>
            </w:tcBorders>
            <w:shd w:val="clear" w:color="auto" w:fill="auto"/>
            <w:vAlign w:val="center"/>
          </w:tcPr>
          <w:p w14:paraId="017B73C8">
            <w:pPr>
              <w:keepNext/>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B21管理制度健全性</w:t>
            </w:r>
          </w:p>
        </w:tc>
        <w:tc>
          <w:tcPr>
            <w:tcW w:w="2049" w:type="dxa"/>
            <w:gridSpan w:val="2"/>
            <w:tcBorders>
              <w:tl2br w:val="nil"/>
              <w:tr2bl w:val="nil"/>
            </w:tcBorders>
            <w:shd w:val="clear" w:color="auto" w:fill="auto"/>
            <w:vAlign w:val="center"/>
          </w:tcPr>
          <w:p w14:paraId="24244FA9">
            <w:pPr>
              <w:keepNext/>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项目实施单位的财务和业务管理制度是否健全，用以反映和考核财务和业务管理制度对项目顺利实施的保障情况。</w:t>
            </w:r>
          </w:p>
        </w:tc>
        <w:tc>
          <w:tcPr>
            <w:tcW w:w="4949" w:type="dxa"/>
            <w:gridSpan w:val="3"/>
            <w:tcBorders>
              <w:tl2br w:val="nil"/>
              <w:tr2bl w:val="nil"/>
            </w:tcBorders>
            <w:shd w:val="clear" w:color="auto" w:fill="auto"/>
            <w:vAlign w:val="center"/>
          </w:tcPr>
          <w:p w14:paraId="7EDCA65E">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评价要点：</w:t>
            </w:r>
          </w:p>
          <w:p w14:paraId="690162BC">
            <w:pPr>
              <w:keepNext/>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①是否已制定或具有相应的财务和业务管理制度；</w:t>
            </w:r>
          </w:p>
          <w:p w14:paraId="74A33674">
            <w:pPr>
              <w:keepNext/>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②财务和业务管理制度是否合法、合规、完整。</w:t>
            </w:r>
          </w:p>
          <w:p w14:paraId="49B89249">
            <w:pPr>
              <w:keepNext/>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以上两项分别占50%的权重分，符合则得分；存在部分制度缺失、内容不完整或不满足管理要求的，每发现一处不符扣0.5分，各权重分扣完为止。</w:t>
            </w:r>
          </w:p>
        </w:tc>
        <w:tc>
          <w:tcPr>
            <w:tcW w:w="939" w:type="dxa"/>
            <w:gridSpan w:val="2"/>
            <w:tcBorders>
              <w:tl2br w:val="nil"/>
              <w:tr2bl w:val="nil"/>
            </w:tcBorders>
            <w:shd w:val="clear" w:color="auto" w:fill="auto"/>
            <w:vAlign w:val="center"/>
          </w:tcPr>
          <w:p w14:paraId="1B10DA9B">
            <w:pPr>
              <w:keepNext/>
              <w:keepLines w:val="0"/>
              <w:widowControl/>
              <w:suppressLineNumbers w:val="0"/>
              <w:ind w:left="0" w:leftChars="0" w:firstLine="0" w:firstLineChars="0"/>
              <w:jc w:val="center"/>
              <w:textAlignment w:val="center"/>
              <w:rPr>
                <w:rFonts w:ascii="Times New Roman" w:hAnsi="Times New Roman" w:eastAsia="宋体" w:cs="Times New Roman"/>
                <w:color w:val="auto"/>
                <w:kern w:val="0"/>
                <w:sz w:val="21"/>
                <w:szCs w:val="21"/>
                <w:lang w:bidi="ar"/>
              </w:rPr>
            </w:pPr>
            <w:r>
              <w:rPr>
                <w:rFonts w:hint="default" w:ascii="Times New Roman" w:hAnsi="Times New Roman" w:eastAsia="宋体" w:cs="Times New Roman"/>
                <w:i w:val="0"/>
                <w:iCs w:val="0"/>
                <w:color w:val="auto"/>
                <w:kern w:val="0"/>
                <w:sz w:val="20"/>
                <w:szCs w:val="20"/>
                <w:u w:val="none"/>
                <w:lang w:val="en-US" w:eastAsia="zh-CN" w:bidi="ar"/>
              </w:rPr>
              <w:t>健全</w:t>
            </w:r>
          </w:p>
        </w:tc>
        <w:tc>
          <w:tcPr>
            <w:tcW w:w="868" w:type="dxa"/>
            <w:tcBorders>
              <w:tl2br w:val="nil"/>
              <w:tr2bl w:val="nil"/>
            </w:tcBorders>
            <w:shd w:val="clear" w:color="auto" w:fill="auto"/>
            <w:vAlign w:val="center"/>
          </w:tcPr>
          <w:p w14:paraId="21620BC9">
            <w:pPr>
              <w:keepNext/>
              <w:keepLines w:val="0"/>
              <w:widowControl/>
              <w:suppressLineNumbers w:val="0"/>
              <w:ind w:left="0" w:leftChars="0"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健全</w:t>
            </w:r>
          </w:p>
        </w:tc>
        <w:tc>
          <w:tcPr>
            <w:tcW w:w="843" w:type="dxa"/>
            <w:gridSpan w:val="2"/>
            <w:tcBorders>
              <w:tl2br w:val="nil"/>
              <w:tr2bl w:val="nil"/>
            </w:tcBorders>
            <w:shd w:val="clear" w:color="auto" w:fill="auto"/>
            <w:vAlign w:val="center"/>
          </w:tcPr>
          <w:p w14:paraId="19CF16B0">
            <w:pPr>
              <w:keepNext/>
              <w:keepLines w:val="0"/>
              <w:widowControl/>
              <w:suppressLineNumbers w:val="0"/>
              <w:ind w:left="0" w:leftChars="0"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4.00</w:t>
            </w:r>
          </w:p>
        </w:tc>
        <w:tc>
          <w:tcPr>
            <w:tcW w:w="828" w:type="dxa"/>
            <w:gridSpan w:val="3"/>
            <w:tcBorders>
              <w:tl2br w:val="nil"/>
              <w:tr2bl w:val="nil"/>
            </w:tcBorders>
            <w:shd w:val="clear" w:color="auto" w:fill="auto"/>
            <w:vAlign w:val="center"/>
          </w:tcPr>
          <w:p w14:paraId="24684318">
            <w:pPr>
              <w:keepNext/>
              <w:keepLines w:val="0"/>
              <w:widowControl/>
              <w:suppressLineNumbers w:val="0"/>
              <w:ind w:left="0" w:leftChars="0"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4.00</w:t>
            </w:r>
          </w:p>
        </w:tc>
        <w:tc>
          <w:tcPr>
            <w:tcW w:w="928" w:type="dxa"/>
            <w:tcBorders>
              <w:tl2br w:val="nil"/>
              <w:tr2bl w:val="nil"/>
            </w:tcBorders>
            <w:shd w:val="clear" w:color="auto" w:fill="auto"/>
            <w:vAlign w:val="center"/>
          </w:tcPr>
          <w:p w14:paraId="685E2B7E">
            <w:pPr>
              <w:keepNext/>
              <w:keepLines w:val="0"/>
              <w:widowControl/>
              <w:suppressLineNumbers w:val="0"/>
              <w:ind w:left="0" w:leftChars="0"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100.00%</w:t>
            </w:r>
          </w:p>
        </w:tc>
      </w:tr>
      <w:tr w14:paraId="5A9F3F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gridAfter w:val="1"/>
          <w:wAfter w:w="6" w:type="dxa"/>
          <w:trHeight w:val="261" w:hRule="atLeast"/>
        </w:trPr>
        <w:tc>
          <w:tcPr>
            <w:tcW w:w="801" w:type="dxa"/>
            <w:gridSpan w:val="3"/>
            <w:vMerge w:val="continue"/>
            <w:tcBorders>
              <w:tl2br w:val="nil"/>
              <w:tr2bl w:val="nil"/>
            </w:tcBorders>
            <w:shd w:val="clear" w:color="auto" w:fill="auto"/>
            <w:vAlign w:val="center"/>
          </w:tcPr>
          <w:p w14:paraId="2981AF04">
            <w:pPr>
              <w:keepNext/>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p>
        </w:tc>
        <w:tc>
          <w:tcPr>
            <w:tcW w:w="801" w:type="dxa"/>
            <w:vMerge w:val="continue"/>
            <w:tcBorders>
              <w:tl2br w:val="nil"/>
              <w:tr2bl w:val="nil"/>
            </w:tcBorders>
            <w:shd w:val="clear" w:color="auto" w:fill="auto"/>
            <w:vAlign w:val="center"/>
          </w:tcPr>
          <w:p w14:paraId="282DF610">
            <w:pPr>
              <w:keepNext/>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p>
        </w:tc>
        <w:tc>
          <w:tcPr>
            <w:tcW w:w="1043" w:type="dxa"/>
            <w:gridSpan w:val="2"/>
            <w:tcBorders>
              <w:tl2br w:val="nil"/>
              <w:tr2bl w:val="nil"/>
            </w:tcBorders>
            <w:shd w:val="clear" w:color="auto" w:fill="auto"/>
            <w:vAlign w:val="center"/>
          </w:tcPr>
          <w:p w14:paraId="357091DA">
            <w:pPr>
              <w:keepNext/>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B22制度执行有效性</w:t>
            </w:r>
          </w:p>
        </w:tc>
        <w:tc>
          <w:tcPr>
            <w:tcW w:w="2049" w:type="dxa"/>
            <w:gridSpan w:val="2"/>
            <w:tcBorders>
              <w:tl2br w:val="nil"/>
              <w:tr2bl w:val="nil"/>
            </w:tcBorders>
            <w:shd w:val="clear" w:color="auto" w:fill="auto"/>
            <w:vAlign w:val="center"/>
          </w:tcPr>
          <w:p w14:paraId="75F49155">
            <w:pPr>
              <w:keepNext/>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项目实施是否符合相关管理规定，用以反映和考核相关管理制度的有效执行情况。</w:t>
            </w:r>
          </w:p>
        </w:tc>
        <w:tc>
          <w:tcPr>
            <w:tcW w:w="4949" w:type="dxa"/>
            <w:gridSpan w:val="3"/>
            <w:tcBorders>
              <w:tl2br w:val="nil"/>
              <w:tr2bl w:val="nil"/>
            </w:tcBorders>
            <w:shd w:val="clear" w:color="auto" w:fill="auto"/>
            <w:vAlign w:val="center"/>
          </w:tcPr>
          <w:p w14:paraId="39B8381D">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评价要点：</w:t>
            </w:r>
          </w:p>
          <w:p w14:paraId="1E29FAF3">
            <w:pPr>
              <w:keepNext/>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①是否遵守相关法律法规和相关管理规定；</w:t>
            </w:r>
          </w:p>
          <w:p w14:paraId="63E8F5E0">
            <w:pPr>
              <w:keepNext/>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②项目调整及支出调整手续是否完备；</w:t>
            </w:r>
          </w:p>
          <w:p w14:paraId="5FACA507">
            <w:pPr>
              <w:keepNext/>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③项目合同书、验收报告、技术鉴定等资料是否齐全并及时归档；</w:t>
            </w:r>
          </w:p>
          <w:p w14:paraId="507EDF67">
            <w:pPr>
              <w:keepNext/>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④项目实施的人员条件、场地设备、信息支撑等是否落实到位。</w:t>
            </w:r>
          </w:p>
          <w:p w14:paraId="76A91102">
            <w:pPr>
              <w:keepNext/>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以上四项中发现任意</w:t>
            </w:r>
            <w:r>
              <w:rPr>
                <w:rFonts w:hint="eastAsia" w:eastAsia="宋体" w:cs="Times New Roman"/>
                <w:color w:val="auto"/>
                <w:kern w:val="0"/>
                <w:sz w:val="20"/>
                <w:szCs w:val="20"/>
                <w:lang w:eastAsia="zh-CN" w:bidi="ar"/>
              </w:rPr>
              <w:t>一项</w:t>
            </w:r>
            <w:r>
              <w:rPr>
                <w:rFonts w:hint="default" w:ascii="Times New Roman" w:hAnsi="Times New Roman" w:eastAsia="宋体" w:cs="Times New Roman"/>
                <w:color w:val="auto"/>
                <w:kern w:val="0"/>
                <w:sz w:val="20"/>
                <w:szCs w:val="20"/>
                <w:lang w:bidi="ar"/>
              </w:rPr>
              <w:t>制度执行不到位的扣0.5分，扣完为止。</w:t>
            </w:r>
          </w:p>
        </w:tc>
        <w:tc>
          <w:tcPr>
            <w:tcW w:w="939" w:type="dxa"/>
            <w:gridSpan w:val="2"/>
            <w:tcBorders>
              <w:tl2br w:val="nil"/>
              <w:tr2bl w:val="nil"/>
            </w:tcBorders>
            <w:shd w:val="clear" w:color="auto" w:fill="auto"/>
            <w:vAlign w:val="center"/>
          </w:tcPr>
          <w:p w14:paraId="271AE58F">
            <w:pPr>
              <w:keepNext/>
              <w:keepLines w:val="0"/>
              <w:widowControl/>
              <w:suppressLineNumbers w:val="0"/>
              <w:ind w:left="0" w:leftChars="0" w:firstLine="0" w:firstLineChars="0"/>
              <w:jc w:val="center"/>
              <w:textAlignment w:val="center"/>
              <w:rPr>
                <w:rFonts w:ascii="Times New Roman" w:hAnsi="Times New Roman" w:eastAsia="宋体" w:cs="Times New Roman"/>
                <w:color w:val="auto"/>
                <w:kern w:val="0"/>
                <w:sz w:val="21"/>
                <w:szCs w:val="21"/>
                <w:lang w:bidi="ar"/>
              </w:rPr>
            </w:pPr>
            <w:r>
              <w:rPr>
                <w:rFonts w:hint="default" w:ascii="Times New Roman" w:hAnsi="Times New Roman" w:eastAsia="宋体" w:cs="Times New Roman"/>
                <w:i w:val="0"/>
                <w:iCs w:val="0"/>
                <w:color w:val="auto"/>
                <w:kern w:val="0"/>
                <w:sz w:val="20"/>
                <w:szCs w:val="20"/>
                <w:u w:val="none"/>
                <w:lang w:val="en-US" w:eastAsia="zh-CN" w:bidi="ar"/>
              </w:rPr>
              <w:t>有效</w:t>
            </w:r>
          </w:p>
        </w:tc>
        <w:tc>
          <w:tcPr>
            <w:tcW w:w="868" w:type="dxa"/>
            <w:tcBorders>
              <w:tl2br w:val="nil"/>
              <w:tr2bl w:val="nil"/>
            </w:tcBorders>
            <w:shd w:val="clear" w:color="auto" w:fill="auto"/>
            <w:vAlign w:val="center"/>
          </w:tcPr>
          <w:p w14:paraId="2254401A">
            <w:pPr>
              <w:keepNext/>
              <w:keepLines w:val="0"/>
              <w:widowControl/>
              <w:suppressLineNumbers w:val="0"/>
              <w:ind w:left="0" w:leftChars="0"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较有效</w:t>
            </w:r>
          </w:p>
        </w:tc>
        <w:tc>
          <w:tcPr>
            <w:tcW w:w="843" w:type="dxa"/>
            <w:gridSpan w:val="2"/>
            <w:tcBorders>
              <w:tl2br w:val="nil"/>
              <w:tr2bl w:val="nil"/>
            </w:tcBorders>
            <w:shd w:val="clear" w:color="auto" w:fill="auto"/>
            <w:vAlign w:val="center"/>
          </w:tcPr>
          <w:p w14:paraId="461FEB54">
            <w:pPr>
              <w:keepNext/>
              <w:keepLines w:val="0"/>
              <w:widowControl/>
              <w:suppressLineNumbers w:val="0"/>
              <w:ind w:left="0" w:leftChars="0"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i w:val="0"/>
                <w:iCs w:val="0"/>
                <w:color w:val="auto"/>
                <w:kern w:val="0"/>
                <w:sz w:val="20"/>
                <w:szCs w:val="20"/>
                <w:highlight w:val="none"/>
                <w:u w:val="none"/>
                <w:lang w:val="en-US" w:eastAsia="zh-CN" w:bidi="ar"/>
              </w:rPr>
              <w:t>8.00</w:t>
            </w:r>
          </w:p>
        </w:tc>
        <w:tc>
          <w:tcPr>
            <w:tcW w:w="828" w:type="dxa"/>
            <w:gridSpan w:val="3"/>
            <w:tcBorders>
              <w:tl2br w:val="nil"/>
              <w:tr2bl w:val="nil"/>
            </w:tcBorders>
            <w:shd w:val="clear" w:color="auto" w:fill="auto"/>
            <w:vAlign w:val="center"/>
          </w:tcPr>
          <w:p w14:paraId="6851EDC4">
            <w:pPr>
              <w:keepNext/>
              <w:keepLines w:val="0"/>
              <w:widowControl/>
              <w:suppressLineNumbers w:val="0"/>
              <w:ind w:left="0" w:leftChars="0" w:firstLine="0" w:firstLineChars="0"/>
              <w:jc w:val="center"/>
              <w:textAlignment w:val="center"/>
              <w:rPr>
                <w:rFonts w:hint="default" w:ascii="Times New Roman" w:hAnsi="Times New Roman" w:eastAsia="宋体" w:cs="Times New Roman"/>
                <w:color w:val="auto"/>
                <w:kern w:val="0"/>
                <w:sz w:val="21"/>
                <w:szCs w:val="21"/>
                <w:highlight w:val="none"/>
                <w:lang w:val="en-US" w:bidi="ar"/>
              </w:rPr>
            </w:pPr>
            <w:r>
              <w:rPr>
                <w:rFonts w:hint="eastAsia" w:eastAsia="宋体" w:cs="Times New Roman"/>
                <w:i w:val="0"/>
                <w:iCs w:val="0"/>
                <w:color w:val="auto"/>
                <w:kern w:val="0"/>
                <w:sz w:val="20"/>
                <w:szCs w:val="20"/>
                <w:highlight w:val="none"/>
                <w:u w:val="none"/>
                <w:lang w:val="en-US" w:eastAsia="zh-CN" w:bidi="ar"/>
              </w:rPr>
              <w:t>2.50</w:t>
            </w:r>
          </w:p>
        </w:tc>
        <w:tc>
          <w:tcPr>
            <w:tcW w:w="928" w:type="dxa"/>
            <w:tcBorders>
              <w:tl2br w:val="nil"/>
              <w:tr2bl w:val="nil"/>
            </w:tcBorders>
            <w:shd w:val="clear" w:color="auto" w:fill="auto"/>
            <w:vAlign w:val="center"/>
          </w:tcPr>
          <w:p w14:paraId="53AF8DC7">
            <w:pPr>
              <w:keepNext/>
              <w:keepLines w:val="0"/>
              <w:widowControl/>
              <w:suppressLineNumbers w:val="0"/>
              <w:ind w:left="0" w:leftChars="0" w:firstLine="0" w:firstLineChars="0"/>
              <w:jc w:val="center"/>
              <w:textAlignment w:val="center"/>
              <w:rPr>
                <w:rFonts w:ascii="Times New Roman" w:hAnsi="Times New Roman" w:eastAsia="宋体" w:cs="Times New Roman"/>
                <w:color w:val="auto"/>
                <w:kern w:val="0"/>
                <w:sz w:val="21"/>
                <w:szCs w:val="21"/>
                <w:highlight w:val="none"/>
                <w:lang w:bidi="ar"/>
              </w:rPr>
            </w:pPr>
            <w:r>
              <w:rPr>
                <w:rFonts w:hint="eastAsia" w:eastAsia="宋体" w:cs="Times New Roman"/>
                <w:i w:val="0"/>
                <w:iCs w:val="0"/>
                <w:color w:val="auto"/>
                <w:kern w:val="0"/>
                <w:sz w:val="20"/>
                <w:szCs w:val="20"/>
                <w:highlight w:val="none"/>
                <w:u w:val="none"/>
                <w:lang w:val="en-US" w:eastAsia="zh-CN" w:bidi="ar"/>
              </w:rPr>
              <w:t>31.25</w:t>
            </w:r>
            <w:r>
              <w:rPr>
                <w:rFonts w:hint="default" w:ascii="Times New Roman" w:hAnsi="Times New Roman" w:eastAsia="宋体" w:cs="Times New Roman"/>
                <w:i w:val="0"/>
                <w:iCs w:val="0"/>
                <w:color w:val="auto"/>
                <w:kern w:val="0"/>
                <w:sz w:val="20"/>
                <w:szCs w:val="20"/>
                <w:highlight w:val="none"/>
                <w:u w:val="none"/>
                <w:lang w:val="en-US" w:eastAsia="zh-CN" w:bidi="ar"/>
              </w:rPr>
              <w:t>%</w:t>
            </w:r>
          </w:p>
        </w:tc>
      </w:tr>
      <w:tr w14:paraId="15B0EA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1" w:type="dxa"/>
            <w:bottom w:w="0" w:type="dxa"/>
            <w:right w:w="51" w:type="dxa"/>
          </w:tblCellMar>
        </w:tblPrEx>
        <w:trPr>
          <w:gridAfter w:val="1"/>
          <w:wAfter w:w="6" w:type="dxa"/>
          <w:trHeight w:val="394" w:hRule="atLeast"/>
        </w:trPr>
        <w:tc>
          <w:tcPr>
            <w:tcW w:w="9643" w:type="dxa"/>
            <w:gridSpan w:val="11"/>
            <w:tcBorders>
              <w:tl2br w:val="nil"/>
              <w:tr2bl w:val="nil"/>
            </w:tcBorders>
            <w:shd w:val="clear" w:color="auto" w:fill="auto"/>
            <w:vAlign w:val="center"/>
          </w:tcPr>
          <w:p w14:paraId="1DC25CF5">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小计</w:t>
            </w:r>
          </w:p>
        </w:tc>
        <w:tc>
          <w:tcPr>
            <w:tcW w:w="939" w:type="dxa"/>
            <w:gridSpan w:val="2"/>
            <w:tcBorders>
              <w:tl2br w:val="nil"/>
              <w:tr2bl w:val="nil"/>
            </w:tcBorders>
            <w:shd w:val="clear" w:color="auto" w:fill="auto"/>
            <w:vAlign w:val="center"/>
          </w:tcPr>
          <w:p w14:paraId="2A78EF09">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lang w:bidi="ar"/>
              </w:rPr>
            </w:pPr>
          </w:p>
        </w:tc>
        <w:tc>
          <w:tcPr>
            <w:tcW w:w="868" w:type="dxa"/>
            <w:tcBorders>
              <w:tl2br w:val="nil"/>
              <w:tr2bl w:val="nil"/>
            </w:tcBorders>
            <w:shd w:val="clear" w:color="auto" w:fill="auto"/>
            <w:vAlign w:val="center"/>
          </w:tcPr>
          <w:p w14:paraId="609A444C">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color w:val="auto"/>
                <w:kern w:val="0"/>
                <w:sz w:val="20"/>
                <w:szCs w:val="20"/>
                <w:lang w:bidi="ar"/>
              </w:rPr>
            </w:pPr>
          </w:p>
        </w:tc>
        <w:tc>
          <w:tcPr>
            <w:tcW w:w="843" w:type="dxa"/>
            <w:gridSpan w:val="2"/>
            <w:tcBorders>
              <w:tl2br w:val="nil"/>
              <w:tr2bl w:val="nil"/>
            </w:tcBorders>
            <w:shd w:val="clear" w:color="auto" w:fill="auto"/>
            <w:vAlign w:val="center"/>
          </w:tcPr>
          <w:p w14:paraId="696AAA5F">
            <w:pPr>
              <w:keepNext/>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val="0"/>
                <w:bCs w:val="0"/>
                <w:color w:val="auto"/>
                <w:kern w:val="0"/>
                <w:sz w:val="20"/>
                <w:szCs w:val="20"/>
                <w:lang w:bidi="ar"/>
              </w:rPr>
            </w:pPr>
            <w:r>
              <w:rPr>
                <w:rFonts w:hint="default" w:ascii="Times New Roman" w:hAnsi="Times New Roman" w:eastAsia="宋体" w:cs="Times New Roman"/>
                <w:b w:val="0"/>
                <w:bCs w:val="0"/>
                <w:color w:val="auto"/>
                <w:kern w:val="0"/>
                <w:sz w:val="20"/>
                <w:szCs w:val="20"/>
                <w:lang w:bidi="ar"/>
              </w:rPr>
              <w:t>25.00</w:t>
            </w:r>
          </w:p>
        </w:tc>
        <w:tc>
          <w:tcPr>
            <w:tcW w:w="828" w:type="dxa"/>
            <w:gridSpan w:val="3"/>
            <w:tcBorders>
              <w:tl2br w:val="nil"/>
              <w:tr2bl w:val="nil"/>
            </w:tcBorders>
            <w:shd w:val="clear" w:color="auto" w:fill="auto"/>
            <w:vAlign w:val="center"/>
          </w:tcPr>
          <w:p w14:paraId="38BA2536">
            <w:pPr>
              <w:keepNext/>
              <w:keepLines w:val="0"/>
              <w:widowControl/>
              <w:suppressLineNumbers w:val="0"/>
              <w:ind w:left="0" w:leftChars="0" w:firstLine="0" w:firstLineChars="0"/>
              <w:jc w:val="center"/>
              <w:textAlignment w:val="center"/>
              <w:rPr>
                <w:rFonts w:ascii="Times New Roman" w:hAnsi="Times New Roman" w:eastAsia="宋体" w:cs="Times New Roman"/>
                <w:b w:val="0"/>
                <w:bCs w:val="0"/>
                <w:color w:val="auto"/>
                <w:kern w:val="0"/>
                <w:sz w:val="20"/>
                <w:szCs w:val="20"/>
                <w:lang w:bidi="ar"/>
              </w:rPr>
            </w:pPr>
            <w:r>
              <w:rPr>
                <w:rFonts w:hint="eastAsia" w:eastAsia="宋体" w:cs="Times New Roman"/>
                <w:b w:val="0"/>
                <w:bCs w:val="0"/>
                <w:i w:val="0"/>
                <w:iCs w:val="0"/>
                <w:color w:val="auto"/>
                <w:kern w:val="0"/>
                <w:sz w:val="20"/>
                <w:szCs w:val="20"/>
                <w:u w:val="none"/>
                <w:lang w:val="en-US" w:eastAsia="zh-CN" w:bidi="ar"/>
              </w:rPr>
              <w:t>18.50</w:t>
            </w:r>
          </w:p>
        </w:tc>
        <w:tc>
          <w:tcPr>
            <w:tcW w:w="928" w:type="dxa"/>
            <w:tcBorders>
              <w:tl2br w:val="nil"/>
              <w:tr2bl w:val="nil"/>
            </w:tcBorders>
            <w:shd w:val="clear" w:color="auto" w:fill="auto"/>
            <w:vAlign w:val="center"/>
          </w:tcPr>
          <w:p w14:paraId="107C9256">
            <w:pPr>
              <w:keepNext/>
              <w:keepLines w:val="0"/>
              <w:widowControl/>
              <w:suppressLineNumbers w:val="0"/>
              <w:ind w:left="0" w:leftChars="0" w:firstLine="0" w:firstLineChars="0"/>
              <w:jc w:val="center"/>
              <w:textAlignment w:val="center"/>
              <w:rPr>
                <w:rFonts w:ascii="Times New Roman" w:hAnsi="Times New Roman" w:eastAsia="宋体" w:cs="Times New Roman"/>
                <w:b w:val="0"/>
                <w:bCs w:val="0"/>
                <w:color w:val="auto"/>
                <w:kern w:val="0"/>
                <w:sz w:val="20"/>
                <w:szCs w:val="20"/>
                <w:lang w:bidi="ar"/>
              </w:rPr>
            </w:pPr>
            <w:r>
              <w:rPr>
                <w:rFonts w:hint="eastAsia" w:eastAsia="宋体" w:cs="Times New Roman"/>
                <w:b w:val="0"/>
                <w:bCs w:val="0"/>
                <w:i w:val="0"/>
                <w:iCs w:val="0"/>
                <w:color w:val="auto"/>
                <w:kern w:val="0"/>
                <w:sz w:val="20"/>
                <w:szCs w:val="20"/>
                <w:u w:val="none"/>
                <w:lang w:val="en-US" w:eastAsia="zh-CN" w:bidi="ar"/>
              </w:rPr>
              <w:t>74</w:t>
            </w:r>
            <w:r>
              <w:rPr>
                <w:rFonts w:hint="default" w:ascii="Times New Roman" w:hAnsi="Times New Roman" w:eastAsia="宋体" w:cs="Times New Roman"/>
                <w:b w:val="0"/>
                <w:bCs w:val="0"/>
                <w:i w:val="0"/>
                <w:iCs w:val="0"/>
                <w:color w:val="auto"/>
                <w:kern w:val="0"/>
                <w:sz w:val="20"/>
                <w:szCs w:val="20"/>
                <w:u w:val="none"/>
                <w:lang w:val="en-US" w:eastAsia="zh-CN" w:bidi="ar"/>
              </w:rPr>
              <w:t>.00%</w:t>
            </w:r>
          </w:p>
        </w:tc>
      </w:tr>
      <w:tr w14:paraId="24D6DF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gridBefore w:val="1"/>
          <w:wBefore w:w="2" w:type="dxa"/>
          <w:trHeight w:val="90" w:hRule="atLeast"/>
        </w:trPr>
        <w:tc>
          <w:tcPr>
            <w:tcW w:w="784" w:type="dxa"/>
            <w:vMerge w:val="restart"/>
            <w:tcBorders>
              <w:tl2br w:val="nil"/>
              <w:tr2bl w:val="nil"/>
            </w:tcBorders>
            <w:shd w:val="clear" w:color="auto" w:fill="auto"/>
            <w:vAlign w:val="center"/>
          </w:tcPr>
          <w:p w14:paraId="2A033291">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C产出</w:t>
            </w:r>
            <w:r>
              <w:rPr>
                <w:rFonts w:hint="default" w:ascii="Times New Roman" w:hAnsi="Times New Roman" w:eastAsia="宋体" w:cs="Times New Roman"/>
                <w:color w:val="auto"/>
                <w:kern w:val="0"/>
                <w:sz w:val="20"/>
                <w:szCs w:val="20"/>
                <w:lang w:val="en-US" w:eastAsia="zh-CN" w:bidi="ar"/>
              </w:rPr>
              <w:br w:type="textWrapping"/>
            </w:r>
            <w:r>
              <w:rPr>
                <w:rFonts w:hint="default" w:ascii="Times New Roman" w:hAnsi="Times New Roman" w:eastAsia="宋体" w:cs="Times New Roman"/>
                <w:color w:val="auto"/>
                <w:kern w:val="0"/>
                <w:sz w:val="20"/>
                <w:szCs w:val="20"/>
                <w:lang w:val="en-US" w:eastAsia="zh-CN" w:bidi="ar"/>
              </w:rPr>
              <w:t>（30.00分）</w:t>
            </w:r>
          </w:p>
        </w:tc>
        <w:tc>
          <w:tcPr>
            <w:tcW w:w="844" w:type="dxa"/>
            <w:gridSpan w:val="3"/>
            <w:tcBorders>
              <w:tl2br w:val="nil"/>
              <w:tr2bl w:val="nil"/>
            </w:tcBorders>
            <w:shd w:val="clear" w:color="auto" w:fill="auto"/>
            <w:vAlign w:val="center"/>
          </w:tcPr>
          <w:p w14:paraId="50250663">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C1产出数量（9.00分）</w:t>
            </w:r>
          </w:p>
        </w:tc>
        <w:tc>
          <w:tcPr>
            <w:tcW w:w="1029" w:type="dxa"/>
            <w:gridSpan w:val="2"/>
            <w:tcBorders>
              <w:tl2br w:val="nil"/>
              <w:tr2bl w:val="nil"/>
            </w:tcBorders>
            <w:shd w:val="clear" w:color="auto" w:fill="auto"/>
            <w:vAlign w:val="center"/>
          </w:tcPr>
          <w:p w14:paraId="7CED048E">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C11受助孤儿人数</w:t>
            </w:r>
          </w:p>
        </w:tc>
        <w:tc>
          <w:tcPr>
            <w:tcW w:w="2041" w:type="dxa"/>
            <w:gridSpan w:val="2"/>
            <w:tcBorders>
              <w:tl2br w:val="nil"/>
              <w:tr2bl w:val="nil"/>
            </w:tcBorders>
            <w:shd w:val="clear" w:color="auto" w:fill="auto"/>
            <w:vAlign w:val="center"/>
          </w:tcPr>
          <w:p w14:paraId="571DBF7E">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考核项目受助孤儿人数实现情况</w:t>
            </w:r>
          </w:p>
        </w:tc>
        <w:tc>
          <w:tcPr>
            <w:tcW w:w="4941" w:type="dxa"/>
            <w:tcBorders>
              <w:tl2br w:val="nil"/>
              <w:tr2bl w:val="nil"/>
            </w:tcBorders>
            <w:shd w:val="clear" w:color="auto" w:fill="auto"/>
            <w:vAlign w:val="center"/>
          </w:tcPr>
          <w:p w14:paraId="5C0139D6">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eastAsia="宋体" w:cs="Times New Roman"/>
                <w:color w:val="auto"/>
                <w:kern w:val="0"/>
                <w:sz w:val="20"/>
                <w:szCs w:val="20"/>
                <w:lang w:val="en-US" w:eastAsia="zh-CN" w:bidi="ar"/>
              </w:rPr>
              <w:t>实际完成率=（实际产出数/计划产出数）×100.0%。</w:t>
            </w:r>
          </w:p>
          <w:p w14:paraId="009973D0">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①绩效目标超额完成，即实际完成率≥200%，得0分；</w:t>
            </w:r>
            <w:r>
              <w:rPr>
                <w:rFonts w:hint="default" w:ascii="Times New Roman" w:hAnsi="Times New Roman" w:eastAsia="宋体" w:cs="Times New Roman"/>
                <w:color w:val="auto"/>
                <w:kern w:val="0"/>
                <w:sz w:val="20"/>
                <w:szCs w:val="20"/>
                <w:lang w:val="en-US" w:eastAsia="zh-CN" w:bidi="ar"/>
              </w:rPr>
              <w:br w:type="textWrapping"/>
            </w:r>
            <w:r>
              <w:rPr>
                <w:rFonts w:hint="default" w:ascii="Times New Roman" w:hAnsi="Times New Roman" w:eastAsia="宋体" w:cs="Times New Roman"/>
                <w:color w:val="auto"/>
                <w:kern w:val="0"/>
                <w:sz w:val="20"/>
                <w:szCs w:val="20"/>
                <w:lang w:val="en-US" w:eastAsia="zh-CN" w:bidi="ar"/>
              </w:rPr>
              <w:t>②绩效目标超额完成，100%≤完成率&lt;200%，得分=（1-（实际完成率-100%））×权重分值；</w:t>
            </w:r>
            <w:r>
              <w:rPr>
                <w:rFonts w:hint="default" w:ascii="Times New Roman" w:hAnsi="Times New Roman" w:eastAsia="宋体" w:cs="Times New Roman"/>
                <w:color w:val="auto"/>
                <w:kern w:val="0"/>
                <w:sz w:val="20"/>
                <w:szCs w:val="20"/>
                <w:lang w:val="en-US" w:eastAsia="zh-CN" w:bidi="ar"/>
              </w:rPr>
              <w:br w:type="textWrapping"/>
            </w:r>
            <w:r>
              <w:rPr>
                <w:rFonts w:hint="default" w:ascii="Times New Roman" w:hAnsi="Times New Roman" w:eastAsia="宋体" w:cs="Times New Roman"/>
                <w:color w:val="auto"/>
                <w:kern w:val="0"/>
                <w:sz w:val="20"/>
                <w:szCs w:val="20"/>
                <w:lang w:val="en-US" w:eastAsia="zh-CN" w:bidi="ar"/>
              </w:rPr>
              <w:t>③绩效目标未完成，若60%≤完成率&lt;100%，得分=（实际完成率-60%）/（1-60%）×权重分值；若完成率&lt;60%，得0分。</w:t>
            </w:r>
          </w:p>
        </w:tc>
        <w:tc>
          <w:tcPr>
            <w:tcW w:w="929" w:type="dxa"/>
            <w:gridSpan w:val="2"/>
            <w:tcBorders>
              <w:tl2br w:val="nil"/>
              <w:tr2bl w:val="nil"/>
            </w:tcBorders>
            <w:shd w:val="clear" w:color="auto" w:fill="auto"/>
            <w:vAlign w:val="center"/>
          </w:tcPr>
          <w:p w14:paraId="009EA225">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24人</w:t>
            </w:r>
          </w:p>
        </w:tc>
        <w:tc>
          <w:tcPr>
            <w:tcW w:w="886" w:type="dxa"/>
            <w:gridSpan w:val="3"/>
            <w:tcBorders>
              <w:tl2br w:val="nil"/>
              <w:tr2bl w:val="nil"/>
            </w:tcBorders>
            <w:shd w:val="clear" w:color="auto" w:fill="auto"/>
            <w:vAlign w:val="center"/>
          </w:tcPr>
          <w:p w14:paraId="593710B5">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24人</w:t>
            </w:r>
          </w:p>
        </w:tc>
        <w:tc>
          <w:tcPr>
            <w:tcW w:w="843" w:type="dxa"/>
            <w:gridSpan w:val="2"/>
            <w:tcBorders>
              <w:tl2br w:val="nil"/>
              <w:tr2bl w:val="nil"/>
            </w:tcBorders>
            <w:shd w:val="clear" w:color="auto" w:fill="auto"/>
            <w:vAlign w:val="center"/>
          </w:tcPr>
          <w:p w14:paraId="5B4B41B2">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9.00</w:t>
            </w:r>
          </w:p>
        </w:tc>
        <w:tc>
          <w:tcPr>
            <w:tcW w:w="814" w:type="dxa"/>
            <w:tcBorders>
              <w:tl2br w:val="nil"/>
              <w:tr2bl w:val="nil"/>
            </w:tcBorders>
            <w:shd w:val="clear" w:color="auto" w:fill="auto"/>
            <w:vAlign w:val="center"/>
          </w:tcPr>
          <w:p w14:paraId="56574A02">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9.00</w:t>
            </w:r>
          </w:p>
        </w:tc>
        <w:tc>
          <w:tcPr>
            <w:tcW w:w="942" w:type="dxa"/>
            <w:gridSpan w:val="3"/>
            <w:tcBorders>
              <w:tl2br w:val="nil"/>
              <w:tr2bl w:val="nil"/>
            </w:tcBorders>
            <w:shd w:val="clear" w:color="auto" w:fill="auto"/>
            <w:vAlign w:val="center"/>
          </w:tcPr>
          <w:p w14:paraId="423CAA7B">
            <w:pPr>
              <w:keepNext/>
              <w:keepLines w:val="0"/>
              <w:widowControl/>
              <w:suppressLineNumbers w:val="0"/>
              <w:ind w:left="0" w:leftChars="0"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i w:val="0"/>
                <w:iCs w:val="0"/>
                <w:color w:val="auto"/>
                <w:kern w:val="0"/>
                <w:sz w:val="20"/>
                <w:szCs w:val="20"/>
                <w:u w:val="none"/>
                <w:lang w:val="en-US" w:eastAsia="zh-CN" w:bidi="ar"/>
              </w:rPr>
              <w:t>100.00%</w:t>
            </w:r>
          </w:p>
        </w:tc>
      </w:tr>
      <w:tr w14:paraId="02E4DA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gridBefore w:val="1"/>
          <w:wBefore w:w="2" w:type="dxa"/>
          <w:trHeight w:val="1120" w:hRule="atLeast"/>
        </w:trPr>
        <w:tc>
          <w:tcPr>
            <w:tcW w:w="784" w:type="dxa"/>
            <w:vMerge w:val="continue"/>
            <w:tcBorders>
              <w:tl2br w:val="nil"/>
              <w:tr2bl w:val="nil"/>
            </w:tcBorders>
            <w:shd w:val="clear" w:color="auto" w:fill="auto"/>
            <w:vAlign w:val="center"/>
          </w:tcPr>
          <w:p w14:paraId="3CD5163E">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844" w:type="dxa"/>
            <w:gridSpan w:val="3"/>
            <w:tcBorders>
              <w:tl2br w:val="nil"/>
              <w:tr2bl w:val="nil"/>
            </w:tcBorders>
            <w:shd w:val="clear" w:color="auto" w:fill="auto"/>
            <w:vAlign w:val="center"/>
          </w:tcPr>
          <w:p w14:paraId="60981655">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C2产出质量（</w:t>
            </w:r>
            <w:r>
              <w:rPr>
                <w:rFonts w:hint="eastAsia" w:eastAsia="宋体" w:cs="Times New Roman"/>
                <w:color w:val="auto"/>
                <w:kern w:val="0"/>
                <w:sz w:val="20"/>
                <w:szCs w:val="20"/>
                <w:lang w:val="en-US" w:eastAsia="zh-CN" w:bidi="ar"/>
              </w:rPr>
              <w:t xml:space="preserve"> 6</w:t>
            </w:r>
            <w:r>
              <w:rPr>
                <w:rFonts w:hint="default" w:ascii="Times New Roman" w:hAnsi="Times New Roman" w:eastAsia="宋体" w:cs="Times New Roman"/>
                <w:color w:val="auto"/>
                <w:kern w:val="0"/>
                <w:sz w:val="20"/>
                <w:szCs w:val="20"/>
                <w:lang w:val="en-US" w:eastAsia="zh-CN" w:bidi="ar"/>
              </w:rPr>
              <w:t>.00分）</w:t>
            </w:r>
          </w:p>
        </w:tc>
        <w:tc>
          <w:tcPr>
            <w:tcW w:w="1029" w:type="dxa"/>
            <w:gridSpan w:val="2"/>
            <w:tcBorders>
              <w:tl2br w:val="nil"/>
              <w:tr2bl w:val="nil"/>
            </w:tcBorders>
            <w:shd w:val="clear" w:color="auto" w:fill="auto"/>
            <w:vAlign w:val="center"/>
          </w:tcPr>
          <w:p w14:paraId="16CD77D4">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C21资助对象符合性</w:t>
            </w:r>
          </w:p>
        </w:tc>
        <w:tc>
          <w:tcPr>
            <w:tcW w:w="2041" w:type="dxa"/>
            <w:gridSpan w:val="2"/>
            <w:tcBorders>
              <w:tl2br w:val="nil"/>
              <w:tr2bl w:val="nil"/>
            </w:tcBorders>
            <w:shd w:val="clear" w:color="auto" w:fill="auto"/>
            <w:vAlign w:val="center"/>
          </w:tcPr>
          <w:p w14:paraId="083534F5">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考核孤儿认定程序的合规性</w:t>
            </w:r>
          </w:p>
        </w:tc>
        <w:tc>
          <w:tcPr>
            <w:tcW w:w="4941" w:type="dxa"/>
            <w:tcBorders>
              <w:tl2br w:val="nil"/>
              <w:tr2bl w:val="nil"/>
            </w:tcBorders>
            <w:shd w:val="clear" w:color="auto" w:fill="auto"/>
            <w:vAlign w:val="center"/>
          </w:tcPr>
          <w:p w14:paraId="1C125720">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本次享受资助孤儿符合《“福彩圆梦·孤儿助学工程”项目实施暂行办法》（民办发〔2019〕24号）规定，得满分，否则不得分。</w:t>
            </w:r>
          </w:p>
        </w:tc>
        <w:tc>
          <w:tcPr>
            <w:tcW w:w="929" w:type="dxa"/>
            <w:gridSpan w:val="2"/>
            <w:tcBorders>
              <w:tl2br w:val="nil"/>
              <w:tr2bl w:val="nil"/>
            </w:tcBorders>
            <w:shd w:val="clear" w:color="auto" w:fill="auto"/>
            <w:noWrap/>
            <w:vAlign w:val="center"/>
          </w:tcPr>
          <w:p w14:paraId="258D84D5">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100.00%</w:t>
            </w:r>
          </w:p>
        </w:tc>
        <w:tc>
          <w:tcPr>
            <w:tcW w:w="886" w:type="dxa"/>
            <w:gridSpan w:val="3"/>
            <w:tcBorders>
              <w:tl2br w:val="nil"/>
              <w:tr2bl w:val="nil"/>
            </w:tcBorders>
            <w:shd w:val="clear" w:color="auto" w:fill="auto"/>
            <w:vAlign w:val="center"/>
          </w:tcPr>
          <w:p w14:paraId="1168930E">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95.83%</w:t>
            </w:r>
          </w:p>
        </w:tc>
        <w:tc>
          <w:tcPr>
            <w:tcW w:w="843" w:type="dxa"/>
            <w:gridSpan w:val="2"/>
            <w:tcBorders>
              <w:tl2br w:val="nil"/>
              <w:tr2bl w:val="nil"/>
            </w:tcBorders>
            <w:shd w:val="clear" w:color="auto" w:fill="auto"/>
            <w:vAlign w:val="center"/>
          </w:tcPr>
          <w:p w14:paraId="7D40308F">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6.00</w:t>
            </w:r>
          </w:p>
        </w:tc>
        <w:tc>
          <w:tcPr>
            <w:tcW w:w="814" w:type="dxa"/>
            <w:tcBorders>
              <w:tl2br w:val="nil"/>
              <w:tr2bl w:val="nil"/>
            </w:tcBorders>
            <w:shd w:val="clear" w:color="auto" w:fill="auto"/>
            <w:vAlign w:val="center"/>
          </w:tcPr>
          <w:p w14:paraId="7C11459F">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eastAsia" w:eastAsia="宋体" w:cs="Times New Roman"/>
                <w:color w:val="auto"/>
                <w:kern w:val="0"/>
                <w:sz w:val="20"/>
                <w:szCs w:val="20"/>
                <w:lang w:val="en-US" w:eastAsia="zh-CN" w:bidi="ar"/>
              </w:rPr>
              <w:t>5.37</w:t>
            </w:r>
          </w:p>
        </w:tc>
        <w:tc>
          <w:tcPr>
            <w:tcW w:w="942" w:type="dxa"/>
            <w:gridSpan w:val="3"/>
            <w:tcBorders>
              <w:tl2br w:val="nil"/>
              <w:tr2bl w:val="nil"/>
            </w:tcBorders>
            <w:shd w:val="clear" w:color="auto" w:fill="auto"/>
            <w:vAlign w:val="center"/>
          </w:tcPr>
          <w:p w14:paraId="1762108B">
            <w:pPr>
              <w:keepNext/>
              <w:keepLines w:val="0"/>
              <w:widowControl/>
              <w:suppressLineNumbers w:val="0"/>
              <w:ind w:left="0" w:leftChars="0" w:firstLine="0" w:firstLineChars="0"/>
              <w:jc w:val="center"/>
              <w:textAlignment w:val="center"/>
              <w:rPr>
                <w:rFonts w:hint="default" w:ascii="Times New Roman" w:hAnsi="Times New Roman" w:eastAsia="宋体" w:cs="Times New Roman"/>
                <w:color w:val="auto"/>
                <w:kern w:val="0"/>
                <w:sz w:val="20"/>
                <w:szCs w:val="20"/>
                <w:lang w:bidi="ar"/>
              </w:rPr>
            </w:pPr>
            <w:r>
              <w:rPr>
                <w:rFonts w:hint="eastAsia" w:eastAsia="宋体" w:cs="Times New Roman"/>
                <w:i w:val="0"/>
                <w:iCs w:val="0"/>
                <w:color w:val="auto"/>
                <w:kern w:val="0"/>
                <w:sz w:val="20"/>
                <w:szCs w:val="20"/>
                <w:u w:val="none"/>
                <w:lang w:val="en-US" w:eastAsia="zh-CN" w:bidi="ar"/>
              </w:rPr>
              <w:t>89.50</w:t>
            </w:r>
            <w:r>
              <w:rPr>
                <w:rFonts w:hint="default" w:ascii="Times New Roman" w:hAnsi="Times New Roman" w:eastAsia="宋体" w:cs="Times New Roman"/>
                <w:i w:val="0"/>
                <w:iCs w:val="0"/>
                <w:color w:val="auto"/>
                <w:kern w:val="0"/>
                <w:sz w:val="20"/>
                <w:szCs w:val="20"/>
                <w:u w:val="none"/>
                <w:lang w:val="en-US" w:eastAsia="zh-CN" w:bidi="ar"/>
              </w:rPr>
              <w:t>%</w:t>
            </w:r>
          </w:p>
        </w:tc>
      </w:tr>
      <w:tr w14:paraId="479674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gridBefore w:val="1"/>
          <w:wBefore w:w="2" w:type="dxa"/>
          <w:trHeight w:val="1960" w:hRule="atLeast"/>
        </w:trPr>
        <w:tc>
          <w:tcPr>
            <w:tcW w:w="784" w:type="dxa"/>
            <w:vMerge w:val="continue"/>
            <w:tcBorders>
              <w:tl2br w:val="nil"/>
              <w:tr2bl w:val="nil"/>
            </w:tcBorders>
            <w:shd w:val="clear" w:color="auto" w:fill="auto"/>
            <w:vAlign w:val="center"/>
          </w:tcPr>
          <w:p w14:paraId="2F5179AD">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844" w:type="dxa"/>
            <w:gridSpan w:val="3"/>
            <w:tcBorders>
              <w:tl2br w:val="nil"/>
              <w:tr2bl w:val="nil"/>
            </w:tcBorders>
            <w:shd w:val="clear" w:color="auto" w:fill="auto"/>
            <w:vAlign w:val="center"/>
          </w:tcPr>
          <w:p w14:paraId="223B79A2">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C3产出时效（</w:t>
            </w:r>
            <w:r>
              <w:rPr>
                <w:rFonts w:hint="eastAsia" w:eastAsia="宋体" w:cs="Times New Roman"/>
                <w:color w:val="auto"/>
                <w:kern w:val="0"/>
                <w:sz w:val="20"/>
                <w:szCs w:val="20"/>
                <w:lang w:val="en-US" w:eastAsia="zh-CN" w:bidi="ar"/>
              </w:rPr>
              <w:t>5</w:t>
            </w:r>
            <w:r>
              <w:rPr>
                <w:rFonts w:hint="default" w:ascii="Times New Roman" w:hAnsi="Times New Roman" w:eastAsia="宋体" w:cs="Times New Roman"/>
                <w:color w:val="auto"/>
                <w:kern w:val="0"/>
                <w:sz w:val="20"/>
                <w:szCs w:val="20"/>
                <w:lang w:val="en-US" w:eastAsia="zh-CN" w:bidi="ar"/>
              </w:rPr>
              <w:t>.00分）</w:t>
            </w:r>
          </w:p>
        </w:tc>
        <w:tc>
          <w:tcPr>
            <w:tcW w:w="1029" w:type="dxa"/>
            <w:gridSpan w:val="2"/>
            <w:tcBorders>
              <w:tl2br w:val="nil"/>
              <w:tr2bl w:val="nil"/>
            </w:tcBorders>
            <w:shd w:val="clear" w:color="auto" w:fill="auto"/>
            <w:vAlign w:val="center"/>
          </w:tcPr>
          <w:p w14:paraId="4B25D095">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C31助学金发放及时率</w:t>
            </w:r>
          </w:p>
        </w:tc>
        <w:tc>
          <w:tcPr>
            <w:tcW w:w="2041" w:type="dxa"/>
            <w:gridSpan w:val="2"/>
            <w:tcBorders>
              <w:tl2br w:val="nil"/>
              <w:tr2bl w:val="nil"/>
            </w:tcBorders>
            <w:shd w:val="clear" w:color="auto" w:fill="auto"/>
            <w:vAlign w:val="center"/>
          </w:tcPr>
          <w:p w14:paraId="1B741B10">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考核孤儿助学金发放及时情况</w:t>
            </w:r>
          </w:p>
        </w:tc>
        <w:tc>
          <w:tcPr>
            <w:tcW w:w="4941" w:type="dxa"/>
            <w:tcBorders>
              <w:tl2br w:val="nil"/>
              <w:tr2bl w:val="nil"/>
            </w:tcBorders>
            <w:shd w:val="clear" w:color="auto" w:fill="auto"/>
            <w:vAlign w:val="center"/>
          </w:tcPr>
          <w:p w14:paraId="31240A0A">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eastAsia="宋体" w:cs="Times New Roman"/>
                <w:color w:val="auto"/>
                <w:kern w:val="0"/>
                <w:sz w:val="20"/>
                <w:szCs w:val="20"/>
                <w:lang w:val="en-US" w:eastAsia="zh-CN" w:bidi="ar"/>
              </w:rPr>
              <w:t>助学金发放及时率=按时发放助学总额/计划发放助学金总额</w:t>
            </w:r>
          </w:p>
          <w:p w14:paraId="4D4F7640">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eastAsia="宋体" w:cs="Times New Roman"/>
                <w:color w:val="auto"/>
                <w:kern w:val="0"/>
                <w:sz w:val="20"/>
                <w:szCs w:val="20"/>
                <w:lang w:val="en-US" w:eastAsia="zh-CN" w:bidi="ar"/>
              </w:rPr>
              <w:t>①绩效目标超额完成，即实际完成率≥200%，得0分；</w:t>
            </w:r>
          </w:p>
          <w:p w14:paraId="167E97EE">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eastAsia="宋体" w:cs="Times New Roman"/>
                <w:color w:val="auto"/>
                <w:kern w:val="0"/>
                <w:sz w:val="20"/>
                <w:szCs w:val="20"/>
                <w:lang w:val="en-US" w:eastAsia="zh-CN" w:bidi="ar"/>
              </w:rPr>
              <w:t>②绩效目标超额完成，100%≤完成率&lt;200%，得分=（1-（实际完成率-100%））×权重分值；</w:t>
            </w:r>
          </w:p>
          <w:p w14:paraId="6D459A34">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③绩效目标未完成，若60%≤完成率&lt;100%，得分=（实际完成率-60%）/（1-60%）×权重分值；若完成率&lt;60%，得0分。</w:t>
            </w:r>
          </w:p>
        </w:tc>
        <w:tc>
          <w:tcPr>
            <w:tcW w:w="929" w:type="dxa"/>
            <w:gridSpan w:val="2"/>
            <w:tcBorders>
              <w:tl2br w:val="nil"/>
              <w:tr2bl w:val="nil"/>
            </w:tcBorders>
            <w:shd w:val="clear" w:color="auto" w:fill="auto"/>
            <w:noWrap/>
            <w:vAlign w:val="center"/>
          </w:tcPr>
          <w:p w14:paraId="243EC3B5">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100.00%</w:t>
            </w:r>
          </w:p>
        </w:tc>
        <w:tc>
          <w:tcPr>
            <w:tcW w:w="886" w:type="dxa"/>
            <w:gridSpan w:val="3"/>
            <w:tcBorders>
              <w:tl2br w:val="nil"/>
              <w:tr2bl w:val="nil"/>
            </w:tcBorders>
            <w:shd w:val="clear" w:color="auto" w:fill="auto"/>
            <w:vAlign w:val="center"/>
          </w:tcPr>
          <w:p w14:paraId="5BC60B4B">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val="en-US" w:bidi="ar"/>
              </w:rPr>
            </w:pPr>
            <w:r>
              <w:rPr>
                <w:rFonts w:hint="eastAsia" w:eastAsia="宋体" w:cs="Times New Roman"/>
                <w:color w:val="auto"/>
                <w:kern w:val="0"/>
                <w:sz w:val="20"/>
                <w:szCs w:val="20"/>
                <w:lang w:val="en-US" w:eastAsia="zh-CN" w:bidi="ar"/>
              </w:rPr>
              <w:t>50.00%</w:t>
            </w:r>
          </w:p>
        </w:tc>
        <w:tc>
          <w:tcPr>
            <w:tcW w:w="843" w:type="dxa"/>
            <w:gridSpan w:val="2"/>
            <w:tcBorders>
              <w:tl2br w:val="nil"/>
              <w:tr2bl w:val="nil"/>
            </w:tcBorders>
            <w:shd w:val="clear" w:color="auto" w:fill="auto"/>
            <w:vAlign w:val="center"/>
          </w:tcPr>
          <w:p w14:paraId="2169A3DF">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5.00</w:t>
            </w:r>
          </w:p>
        </w:tc>
        <w:tc>
          <w:tcPr>
            <w:tcW w:w="814" w:type="dxa"/>
            <w:tcBorders>
              <w:tl2br w:val="nil"/>
              <w:tr2bl w:val="nil"/>
            </w:tcBorders>
            <w:shd w:val="clear" w:color="auto" w:fill="auto"/>
            <w:vAlign w:val="center"/>
          </w:tcPr>
          <w:p w14:paraId="19B990F1">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0.00</w:t>
            </w:r>
          </w:p>
        </w:tc>
        <w:tc>
          <w:tcPr>
            <w:tcW w:w="942" w:type="dxa"/>
            <w:gridSpan w:val="3"/>
            <w:tcBorders>
              <w:tl2br w:val="nil"/>
              <w:tr2bl w:val="nil"/>
            </w:tcBorders>
            <w:shd w:val="clear" w:color="auto" w:fill="auto"/>
            <w:vAlign w:val="center"/>
          </w:tcPr>
          <w:p w14:paraId="6705D863">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0.00%</w:t>
            </w:r>
          </w:p>
        </w:tc>
      </w:tr>
      <w:tr w14:paraId="238EFF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gridBefore w:val="1"/>
          <w:wBefore w:w="2" w:type="dxa"/>
          <w:trHeight w:val="1120" w:hRule="atLeast"/>
        </w:trPr>
        <w:tc>
          <w:tcPr>
            <w:tcW w:w="784" w:type="dxa"/>
            <w:vMerge w:val="continue"/>
            <w:tcBorders>
              <w:tl2br w:val="nil"/>
              <w:tr2bl w:val="nil"/>
            </w:tcBorders>
            <w:shd w:val="clear" w:color="auto" w:fill="auto"/>
            <w:vAlign w:val="center"/>
          </w:tcPr>
          <w:p w14:paraId="318F5E8B">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844" w:type="dxa"/>
            <w:gridSpan w:val="3"/>
            <w:tcBorders>
              <w:tl2br w:val="nil"/>
              <w:tr2bl w:val="nil"/>
            </w:tcBorders>
            <w:shd w:val="clear" w:color="auto" w:fill="auto"/>
            <w:vAlign w:val="center"/>
          </w:tcPr>
          <w:p w14:paraId="5AF87FA5">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C4产出成本（10.00分）</w:t>
            </w:r>
          </w:p>
        </w:tc>
        <w:tc>
          <w:tcPr>
            <w:tcW w:w="1029" w:type="dxa"/>
            <w:gridSpan w:val="2"/>
            <w:tcBorders>
              <w:tl2br w:val="nil"/>
              <w:tr2bl w:val="nil"/>
            </w:tcBorders>
            <w:shd w:val="clear" w:color="auto" w:fill="auto"/>
            <w:vAlign w:val="center"/>
          </w:tcPr>
          <w:p w14:paraId="6B1CEBE7">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C41孤儿资助标准</w:t>
            </w:r>
          </w:p>
        </w:tc>
        <w:tc>
          <w:tcPr>
            <w:tcW w:w="2041" w:type="dxa"/>
            <w:gridSpan w:val="2"/>
            <w:tcBorders>
              <w:tl2br w:val="nil"/>
              <w:tr2bl w:val="nil"/>
            </w:tcBorders>
            <w:shd w:val="clear" w:color="auto" w:fill="auto"/>
            <w:vAlign w:val="center"/>
          </w:tcPr>
          <w:p w14:paraId="7513EB92">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考核孤儿资助标准。</w:t>
            </w:r>
          </w:p>
        </w:tc>
        <w:tc>
          <w:tcPr>
            <w:tcW w:w="4941" w:type="dxa"/>
            <w:tcBorders>
              <w:tl2br w:val="nil"/>
              <w:tr2bl w:val="nil"/>
            </w:tcBorders>
            <w:shd w:val="clear" w:color="auto" w:fill="auto"/>
            <w:vAlign w:val="center"/>
          </w:tcPr>
          <w:p w14:paraId="1C49194D">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孤儿助学资助标准达到</w:t>
            </w:r>
            <w:r>
              <w:rPr>
                <w:rFonts w:hint="default" w:ascii="Times New Roman" w:hAnsi="Times New Roman" w:cs="Times New Roman"/>
                <w:color w:val="auto"/>
                <w:lang w:val="en-US" w:eastAsia="zh-CN"/>
              </w:rPr>
              <w:t>1.00万元/人·年</w:t>
            </w:r>
            <w:r>
              <w:rPr>
                <w:rFonts w:hint="default" w:ascii="Times New Roman" w:hAnsi="Times New Roman" w:eastAsia="宋体" w:cs="Times New Roman"/>
                <w:color w:val="auto"/>
                <w:kern w:val="0"/>
                <w:sz w:val="20"/>
                <w:szCs w:val="20"/>
                <w:lang w:val="en-US" w:eastAsia="zh-CN" w:bidi="ar"/>
              </w:rPr>
              <w:t>，得满分，否则不得分。</w:t>
            </w:r>
          </w:p>
        </w:tc>
        <w:tc>
          <w:tcPr>
            <w:tcW w:w="929" w:type="dxa"/>
            <w:gridSpan w:val="2"/>
            <w:tcBorders>
              <w:tl2br w:val="nil"/>
              <w:tr2bl w:val="nil"/>
            </w:tcBorders>
            <w:shd w:val="clear" w:color="auto" w:fill="auto"/>
            <w:vAlign w:val="center"/>
          </w:tcPr>
          <w:p w14:paraId="4B6AA4EC">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lang w:val="en-US" w:eastAsia="zh-CN"/>
              </w:rPr>
              <w:t>1.00万元/人·年</w:t>
            </w:r>
          </w:p>
        </w:tc>
        <w:tc>
          <w:tcPr>
            <w:tcW w:w="886" w:type="dxa"/>
            <w:gridSpan w:val="3"/>
            <w:tcBorders>
              <w:tl2br w:val="nil"/>
              <w:tr2bl w:val="nil"/>
            </w:tcBorders>
            <w:shd w:val="clear" w:color="auto" w:fill="auto"/>
            <w:vAlign w:val="center"/>
          </w:tcPr>
          <w:p w14:paraId="2382515C">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lang w:val="en-US" w:eastAsia="zh-CN"/>
              </w:rPr>
              <w:t>1.00万元/人·年</w:t>
            </w:r>
          </w:p>
        </w:tc>
        <w:tc>
          <w:tcPr>
            <w:tcW w:w="843" w:type="dxa"/>
            <w:gridSpan w:val="2"/>
            <w:tcBorders>
              <w:tl2br w:val="nil"/>
              <w:tr2bl w:val="nil"/>
            </w:tcBorders>
            <w:shd w:val="clear" w:color="auto" w:fill="auto"/>
            <w:vAlign w:val="center"/>
          </w:tcPr>
          <w:p w14:paraId="10EF100D">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10.00</w:t>
            </w:r>
          </w:p>
        </w:tc>
        <w:tc>
          <w:tcPr>
            <w:tcW w:w="814" w:type="dxa"/>
            <w:tcBorders>
              <w:tl2br w:val="nil"/>
              <w:tr2bl w:val="nil"/>
            </w:tcBorders>
            <w:shd w:val="clear" w:color="auto" w:fill="auto"/>
            <w:noWrap/>
            <w:vAlign w:val="center"/>
          </w:tcPr>
          <w:p w14:paraId="77B9E159">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10.00</w:t>
            </w:r>
          </w:p>
        </w:tc>
        <w:tc>
          <w:tcPr>
            <w:tcW w:w="942" w:type="dxa"/>
            <w:gridSpan w:val="3"/>
            <w:tcBorders>
              <w:tl2br w:val="nil"/>
              <w:tr2bl w:val="nil"/>
            </w:tcBorders>
            <w:shd w:val="clear" w:color="auto" w:fill="auto"/>
            <w:vAlign w:val="center"/>
          </w:tcPr>
          <w:p w14:paraId="44DFD01B">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100.00%</w:t>
            </w:r>
          </w:p>
        </w:tc>
      </w:tr>
      <w:tr w14:paraId="4F2618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gridBefore w:val="1"/>
          <w:wBefore w:w="2" w:type="dxa"/>
          <w:trHeight w:val="280" w:hRule="atLeast"/>
        </w:trPr>
        <w:tc>
          <w:tcPr>
            <w:tcW w:w="9639" w:type="dxa"/>
            <w:gridSpan w:val="9"/>
            <w:tcBorders>
              <w:tl2br w:val="nil"/>
              <w:tr2bl w:val="nil"/>
            </w:tcBorders>
            <w:shd w:val="clear" w:color="auto" w:fill="auto"/>
            <w:vAlign w:val="center"/>
          </w:tcPr>
          <w:p w14:paraId="0E2BE54A">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小计</w:t>
            </w:r>
          </w:p>
        </w:tc>
        <w:tc>
          <w:tcPr>
            <w:tcW w:w="929" w:type="dxa"/>
            <w:gridSpan w:val="2"/>
            <w:tcBorders>
              <w:tl2br w:val="nil"/>
              <w:tr2bl w:val="nil"/>
            </w:tcBorders>
            <w:shd w:val="clear" w:color="auto" w:fill="auto"/>
            <w:vAlign w:val="center"/>
          </w:tcPr>
          <w:p w14:paraId="7E350E79">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p>
        </w:tc>
        <w:tc>
          <w:tcPr>
            <w:tcW w:w="886" w:type="dxa"/>
            <w:gridSpan w:val="3"/>
            <w:tcBorders>
              <w:tl2br w:val="nil"/>
              <w:tr2bl w:val="nil"/>
            </w:tcBorders>
            <w:shd w:val="clear" w:color="auto" w:fill="auto"/>
            <w:vAlign w:val="center"/>
          </w:tcPr>
          <w:p w14:paraId="545C2F17">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p>
        </w:tc>
        <w:tc>
          <w:tcPr>
            <w:tcW w:w="843" w:type="dxa"/>
            <w:gridSpan w:val="2"/>
            <w:tcBorders>
              <w:tl2br w:val="nil"/>
              <w:tr2bl w:val="nil"/>
            </w:tcBorders>
            <w:shd w:val="clear" w:color="auto" w:fill="auto"/>
            <w:vAlign w:val="center"/>
          </w:tcPr>
          <w:p w14:paraId="38AEC66D">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30.00</w:t>
            </w:r>
          </w:p>
        </w:tc>
        <w:tc>
          <w:tcPr>
            <w:tcW w:w="814" w:type="dxa"/>
            <w:tcBorders>
              <w:tl2br w:val="nil"/>
              <w:tr2bl w:val="nil"/>
            </w:tcBorders>
            <w:shd w:val="clear" w:color="auto" w:fill="auto"/>
            <w:vAlign w:val="center"/>
          </w:tcPr>
          <w:p w14:paraId="5229073D">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eastAsia" w:eastAsia="宋体" w:cs="Times New Roman"/>
                <w:color w:val="auto"/>
                <w:kern w:val="0"/>
                <w:sz w:val="20"/>
                <w:szCs w:val="20"/>
                <w:lang w:val="en-US" w:eastAsia="zh-CN" w:bidi="ar"/>
              </w:rPr>
              <w:t>24.37</w:t>
            </w:r>
          </w:p>
        </w:tc>
        <w:tc>
          <w:tcPr>
            <w:tcW w:w="942" w:type="dxa"/>
            <w:gridSpan w:val="3"/>
            <w:tcBorders>
              <w:tl2br w:val="nil"/>
              <w:tr2bl w:val="nil"/>
            </w:tcBorders>
            <w:shd w:val="clear" w:color="auto" w:fill="auto"/>
            <w:vAlign w:val="center"/>
          </w:tcPr>
          <w:p w14:paraId="0903A48F">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eastAsia" w:eastAsia="宋体" w:cs="Times New Roman"/>
                <w:color w:val="auto"/>
                <w:kern w:val="0"/>
                <w:sz w:val="20"/>
                <w:szCs w:val="20"/>
                <w:lang w:val="en-US" w:eastAsia="zh-CN" w:bidi="ar"/>
              </w:rPr>
              <w:t>81.23</w:t>
            </w:r>
            <w:r>
              <w:rPr>
                <w:rFonts w:hint="default" w:ascii="Times New Roman" w:hAnsi="Times New Roman" w:eastAsia="宋体" w:cs="Times New Roman"/>
                <w:color w:val="auto"/>
                <w:kern w:val="0"/>
                <w:sz w:val="20"/>
                <w:szCs w:val="20"/>
                <w:lang w:val="en-US" w:eastAsia="zh-CN" w:bidi="ar"/>
              </w:rPr>
              <w:t>%</w:t>
            </w:r>
          </w:p>
        </w:tc>
      </w:tr>
      <w:tr w14:paraId="0D472E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gridBefore w:val="1"/>
          <w:wBefore w:w="2" w:type="dxa"/>
          <w:trHeight w:val="1120" w:hRule="atLeast"/>
        </w:trPr>
        <w:tc>
          <w:tcPr>
            <w:tcW w:w="784" w:type="dxa"/>
            <w:vMerge w:val="restart"/>
            <w:tcBorders>
              <w:tl2br w:val="nil"/>
              <w:tr2bl w:val="nil"/>
            </w:tcBorders>
            <w:shd w:val="clear" w:color="auto" w:fill="auto"/>
            <w:vAlign w:val="center"/>
          </w:tcPr>
          <w:p w14:paraId="3E115898">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D效益</w:t>
            </w:r>
            <w:r>
              <w:rPr>
                <w:rFonts w:hint="default" w:ascii="Times New Roman" w:hAnsi="Times New Roman" w:eastAsia="宋体" w:cs="Times New Roman"/>
                <w:color w:val="auto"/>
                <w:kern w:val="0"/>
                <w:sz w:val="20"/>
                <w:szCs w:val="20"/>
                <w:lang w:val="en-US" w:eastAsia="zh-CN" w:bidi="ar"/>
              </w:rPr>
              <w:br w:type="textWrapping"/>
            </w:r>
            <w:r>
              <w:rPr>
                <w:rFonts w:hint="default" w:ascii="Times New Roman" w:hAnsi="Times New Roman" w:eastAsia="宋体" w:cs="Times New Roman"/>
                <w:color w:val="auto"/>
                <w:kern w:val="0"/>
                <w:sz w:val="20"/>
                <w:szCs w:val="20"/>
                <w:lang w:val="en-US" w:eastAsia="zh-CN" w:bidi="ar"/>
              </w:rPr>
              <w:t>（35.00分）</w:t>
            </w:r>
          </w:p>
        </w:tc>
        <w:tc>
          <w:tcPr>
            <w:tcW w:w="844" w:type="dxa"/>
            <w:gridSpan w:val="3"/>
            <w:vMerge w:val="restart"/>
            <w:tcBorders>
              <w:tl2br w:val="nil"/>
              <w:tr2bl w:val="nil"/>
            </w:tcBorders>
            <w:shd w:val="clear" w:color="auto" w:fill="auto"/>
            <w:vAlign w:val="center"/>
          </w:tcPr>
          <w:p w14:paraId="6ED75ED3">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D1社会效益指标（20.00分）</w:t>
            </w:r>
          </w:p>
        </w:tc>
        <w:tc>
          <w:tcPr>
            <w:tcW w:w="1029" w:type="dxa"/>
            <w:gridSpan w:val="2"/>
            <w:tcBorders>
              <w:tl2br w:val="nil"/>
              <w:tr2bl w:val="nil"/>
            </w:tcBorders>
            <w:shd w:val="clear" w:color="auto" w:fill="auto"/>
            <w:vAlign w:val="center"/>
          </w:tcPr>
          <w:p w14:paraId="0C2D62A7">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D11孤儿学生完学率提升</w:t>
            </w:r>
          </w:p>
        </w:tc>
        <w:tc>
          <w:tcPr>
            <w:tcW w:w="2041" w:type="dxa"/>
            <w:gridSpan w:val="2"/>
            <w:tcBorders>
              <w:tl2br w:val="nil"/>
              <w:tr2bl w:val="nil"/>
            </w:tcBorders>
            <w:shd w:val="clear" w:color="auto" w:fill="auto"/>
            <w:vAlign w:val="center"/>
          </w:tcPr>
          <w:p w14:paraId="0C1B8181">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考察助学金是否可以保障在校学年的学费情况</w:t>
            </w:r>
          </w:p>
        </w:tc>
        <w:tc>
          <w:tcPr>
            <w:tcW w:w="4941" w:type="dxa"/>
            <w:tcBorders>
              <w:tl2br w:val="nil"/>
              <w:tr2bl w:val="nil"/>
            </w:tcBorders>
            <w:shd w:val="clear" w:color="auto" w:fill="auto"/>
            <w:vAlign w:val="center"/>
          </w:tcPr>
          <w:p w14:paraId="0DF02E6D">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通过比对受补助孤儿在校的学费标准，若补助能否保障缴纳学费，则得满分，否则不得分。</w:t>
            </w:r>
          </w:p>
        </w:tc>
        <w:tc>
          <w:tcPr>
            <w:tcW w:w="929" w:type="dxa"/>
            <w:gridSpan w:val="2"/>
            <w:tcBorders>
              <w:tl2br w:val="nil"/>
              <w:tr2bl w:val="nil"/>
            </w:tcBorders>
            <w:shd w:val="clear" w:color="auto" w:fill="auto"/>
            <w:vAlign w:val="center"/>
          </w:tcPr>
          <w:p w14:paraId="2D39707F">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有效提升</w:t>
            </w:r>
          </w:p>
        </w:tc>
        <w:tc>
          <w:tcPr>
            <w:tcW w:w="886" w:type="dxa"/>
            <w:gridSpan w:val="3"/>
            <w:tcBorders>
              <w:tl2br w:val="nil"/>
              <w:tr2bl w:val="nil"/>
            </w:tcBorders>
            <w:shd w:val="clear" w:color="auto" w:fill="auto"/>
            <w:vAlign w:val="center"/>
          </w:tcPr>
          <w:p w14:paraId="15B65EDD">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基本达成目标</w:t>
            </w:r>
          </w:p>
        </w:tc>
        <w:tc>
          <w:tcPr>
            <w:tcW w:w="843" w:type="dxa"/>
            <w:gridSpan w:val="2"/>
            <w:tcBorders>
              <w:tl2br w:val="nil"/>
              <w:tr2bl w:val="nil"/>
            </w:tcBorders>
            <w:shd w:val="clear" w:color="auto" w:fill="auto"/>
            <w:noWrap/>
            <w:vAlign w:val="center"/>
          </w:tcPr>
          <w:p w14:paraId="082F7E6C">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11.00</w:t>
            </w:r>
          </w:p>
        </w:tc>
        <w:tc>
          <w:tcPr>
            <w:tcW w:w="814" w:type="dxa"/>
            <w:tcBorders>
              <w:tl2br w:val="nil"/>
              <w:tr2bl w:val="nil"/>
            </w:tcBorders>
            <w:shd w:val="clear" w:color="auto" w:fill="auto"/>
            <w:noWrap/>
            <w:vAlign w:val="center"/>
          </w:tcPr>
          <w:p w14:paraId="7C4AA7B6">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11.00</w:t>
            </w:r>
          </w:p>
        </w:tc>
        <w:tc>
          <w:tcPr>
            <w:tcW w:w="942" w:type="dxa"/>
            <w:gridSpan w:val="3"/>
            <w:tcBorders>
              <w:tl2br w:val="nil"/>
              <w:tr2bl w:val="nil"/>
            </w:tcBorders>
            <w:shd w:val="clear" w:color="auto" w:fill="auto"/>
            <w:vAlign w:val="center"/>
          </w:tcPr>
          <w:p w14:paraId="7DD1031A">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100.00%</w:t>
            </w:r>
          </w:p>
        </w:tc>
      </w:tr>
      <w:tr w14:paraId="1AAB5E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gridBefore w:val="1"/>
          <w:wBefore w:w="2" w:type="dxa"/>
          <w:trHeight w:val="1960" w:hRule="atLeast"/>
        </w:trPr>
        <w:tc>
          <w:tcPr>
            <w:tcW w:w="784" w:type="dxa"/>
            <w:vMerge w:val="continue"/>
            <w:tcBorders>
              <w:tl2br w:val="nil"/>
              <w:tr2bl w:val="nil"/>
            </w:tcBorders>
            <w:shd w:val="clear" w:color="auto" w:fill="auto"/>
            <w:vAlign w:val="center"/>
          </w:tcPr>
          <w:p w14:paraId="7911A491">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844" w:type="dxa"/>
            <w:gridSpan w:val="3"/>
            <w:vMerge w:val="continue"/>
            <w:tcBorders>
              <w:tl2br w:val="nil"/>
              <w:tr2bl w:val="nil"/>
            </w:tcBorders>
            <w:shd w:val="clear" w:color="auto" w:fill="auto"/>
            <w:vAlign w:val="center"/>
          </w:tcPr>
          <w:p w14:paraId="03AFF8B9">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1029" w:type="dxa"/>
            <w:gridSpan w:val="2"/>
            <w:tcBorders>
              <w:tl2br w:val="nil"/>
              <w:tr2bl w:val="nil"/>
            </w:tcBorders>
            <w:shd w:val="clear" w:color="auto" w:fill="auto"/>
            <w:vAlign w:val="center"/>
          </w:tcPr>
          <w:p w14:paraId="4AFB9DB9">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D12孤儿教育水平提升情况</w:t>
            </w:r>
          </w:p>
        </w:tc>
        <w:tc>
          <w:tcPr>
            <w:tcW w:w="2041" w:type="dxa"/>
            <w:gridSpan w:val="2"/>
            <w:tcBorders>
              <w:tl2br w:val="nil"/>
              <w:tr2bl w:val="nil"/>
            </w:tcBorders>
            <w:shd w:val="clear" w:color="auto" w:fill="auto"/>
            <w:vAlign w:val="center"/>
          </w:tcPr>
          <w:p w14:paraId="07792E1E">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考察助学金孤儿教育水平提升情况</w:t>
            </w:r>
          </w:p>
        </w:tc>
        <w:tc>
          <w:tcPr>
            <w:tcW w:w="4941" w:type="dxa"/>
            <w:tcBorders>
              <w:tl2br w:val="nil"/>
              <w:tr2bl w:val="nil"/>
            </w:tcBorders>
            <w:shd w:val="clear" w:color="auto" w:fill="auto"/>
            <w:vAlign w:val="center"/>
          </w:tcPr>
          <w:p w14:paraId="1FE33F4B">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据满意度问卷统计情况计算满意度，满意度调查结果大于等于90%，得满分；满意度调查结果大于60%且小于90%的，按超过的比重赋分，计算公式为：得分=（实际完成率-60%）/（1-60%）×指标分值；完成率小于60%为不及格，不得分。</w:t>
            </w:r>
          </w:p>
        </w:tc>
        <w:tc>
          <w:tcPr>
            <w:tcW w:w="929" w:type="dxa"/>
            <w:gridSpan w:val="2"/>
            <w:tcBorders>
              <w:tl2br w:val="nil"/>
              <w:tr2bl w:val="nil"/>
            </w:tcBorders>
            <w:shd w:val="clear" w:color="auto" w:fill="auto"/>
            <w:vAlign w:val="center"/>
          </w:tcPr>
          <w:p w14:paraId="720C8148">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有效提升</w:t>
            </w:r>
          </w:p>
        </w:tc>
        <w:tc>
          <w:tcPr>
            <w:tcW w:w="886" w:type="dxa"/>
            <w:gridSpan w:val="3"/>
            <w:tcBorders>
              <w:tl2br w:val="nil"/>
              <w:tr2bl w:val="nil"/>
            </w:tcBorders>
            <w:shd w:val="clear" w:color="auto" w:fill="auto"/>
            <w:vAlign w:val="center"/>
          </w:tcPr>
          <w:p w14:paraId="68DD64B9">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基本达成目标</w:t>
            </w:r>
          </w:p>
        </w:tc>
        <w:tc>
          <w:tcPr>
            <w:tcW w:w="843" w:type="dxa"/>
            <w:gridSpan w:val="2"/>
            <w:tcBorders>
              <w:tl2br w:val="nil"/>
              <w:tr2bl w:val="nil"/>
            </w:tcBorders>
            <w:shd w:val="clear" w:color="auto" w:fill="auto"/>
            <w:noWrap/>
            <w:vAlign w:val="center"/>
          </w:tcPr>
          <w:p w14:paraId="160A3484">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9.00</w:t>
            </w:r>
          </w:p>
        </w:tc>
        <w:tc>
          <w:tcPr>
            <w:tcW w:w="814" w:type="dxa"/>
            <w:tcBorders>
              <w:tl2br w:val="nil"/>
              <w:tr2bl w:val="nil"/>
            </w:tcBorders>
            <w:shd w:val="clear" w:color="auto" w:fill="auto"/>
            <w:noWrap/>
            <w:vAlign w:val="center"/>
          </w:tcPr>
          <w:p w14:paraId="517F35AD">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9.00</w:t>
            </w:r>
          </w:p>
        </w:tc>
        <w:tc>
          <w:tcPr>
            <w:tcW w:w="942" w:type="dxa"/>
            <w:gridSpan w:val="3"/>
            <w:tcBorders>
              <w:tl2br w:val="nil"/>
              <w:tr2bl w:val="nil"/>
            </w:tcBorders>
            <w:shd w:val="clear" w:color="auto" w:fill="auto"/>
            <w:vAlign w:val="center"/>
          </w:tcPr>
          <w:p w14:paraId="683257BA">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100.00%</w:t>
            </w:r>
          </w:p>
        </w:tc>
      </w:tr>
      <w:tr w14:paraId="49C03E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gridBefore w:val="1"/>
          <w:wBefore w:w="2" w:type="dxa"/>
          <w:trHeight w:val="1960" w:hRule="atLeast"/>
        </w:trPr>
        <w:tc>
          <w:tcPr>
            <w:tcW w:w="784" w:type="dxa"/>
            <w:vMerge w:val="continue"/>
            <w:tcBorders>
              <w:tl2br w:val="nil"/>
              <w:tr2bl w:val="nil"/>
            </w:tcBorders>
            <w:shd w:val="clear" w:color="auto" w:fill="auto"/>
            <w:vAlign w:val="center"/>
          </w:tcPr>
          <w:p w14:paraId="65D88433">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844" w:type="dxa"/>
            <w:gridSpan w:val="3"/>
            <w:tcBorders>
              <w:tl2br w:val="nil"/>
              <w:tr2bl w:val="nil"/>
            </w:tcBorders>
            <w:shd w:val="clear" w:color="auto" w:fill="auto"/>
            <w:vAlign w:val="center"/>
          </w:tcPr>
          <w:p w14:paraId="696D88BD">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D2服务对象满意度指标（15.00分）</w:t>
            </w:r>
          </w:p>
        </w:tc>
        <w:tc>
          <w:tcPr>
            <w:tcW w:w="1029" w:type="dxa"/>
            <w:gridSpan w:val="2"/>
            <w:tcBorders>
              <w:tl2br w:val="nil"/>
              <w:tr2bl w:val="nil"/>
            </w:tcBorders>
            <w:shd w:val="clear" w:color="auto" w:fill="auto"/>
            <w:vAlign w:val="center"/>
          </w:tcPr>
          <w:p w14:paraId="61817083">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D21受助孤儿满意度</w:t>
            </w:r>
          </w:p>
        </w:tc>
        <w:tc>
          <w:tcPr>
            <w:tcW w:w="2041" w:type="dxa"/>
            <w:gridSpan w:val="2"/>
            <w:tcBorders>
              <w:tl2br w:val="nil"/>
              <w:tr2bl w:val="nil"/>
            </w:tcBorders>
            <w:shd w:val="clear" w:color="auto" w:fill="auto"/>
            <w:vAlign w:val="center"/>
          </w:tcPr>
          <w:p w14:paraId="7D95B19D">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社会公众或服务对象对项目实施效果的满意程度。</w:t>
            </w:r>
          </w:p>
        </w:tc>
        <w:tc>
          <w:tcPr>
            <w:tcW w:w="4941" w:type="dxa"/>
            <w:tcBorders>
              <w:tl2br w:val="nil"/>
              <w:tr2bl w:val="nil"/>
            </w:tcBorders>
            <w:shd w:val="clear" w:color="auto" w:fill="auto"/>
            <w:vAlign w:val="center"/>
          </w:tcPr>
          <w:p w14:paraId="6D35325C">
            <w:pPr>
              <w:keepNext/>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据满意度问卷统计情况计算满意度，满意度调查结果大于等于90%，得满分；满意度调查结果大于60%且小于90%的，按超过的比重赋分，计算公式为：得分=（实际完成率-60%）/（1-60%）×指标分值；完成率小于60%为不及格，不得分。</w:t>
            </w:r>
          </w:p>
        </w:tc>
        <w:tc>
          <w:tcPr>
            <w:tcW w:w="929" w:type="dxa"/>
            <w:gridSpan w:val="2"/>
            <w:tcBorders>
              <w:tl2br w:val="nil"/>
              <w:tr2bl w:val="nil"/>
            </w:tcBorders>
            <w:shd w:val="clear" w:color="auto" w:fill="auto"/>
            <w:vAlign w:val="center"/>
          </w:tcPr>
          <w:p w14:paraId="74507B96">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≥90</w:t>
            </w:r>
            <w:r>
              <w:rPr>
                <w:rFonts w:hint="eastAsia" w:eastAsia="宋体" w:cs="Times New Roman"/>
                <w:color w:val="auto"/>
                <w:kern w:val="0"/>
                <w:sz w:val="20"/>
                <w:szCs w:val="20"/>
                <w:lang w:val="en-US" w:eastAsia="zh-CN" w:bidi="ar"/>
              </w:rPr>
              <w:t>.00</w:t>
            </w:r>
            <w:r>
              <w:rPr>
                <w:rFonts w:hint="default" w:ascii="Times New Roman" w:hAnsi="Times New Roman" w:eastAsia="宋体" w:cs="Times New Roman"/>
                <w:color w:val="auto"/>
                <w:kern w:val="0"/>
                <w:sz w:val="20"/>
                <w:szCs w:val="20"/>
                <w:lang w:val="en-US" w:eastAsia="zh-CN" w:bidi="ar"/>
              </w:rPr>
              <w:t>%</w:t>
            </w:r>
          </w:p>
        </w:tc>
        <w:tc>
          <w:tcPr>
            <w:tcW w:w="886" w:type="dxa"/>
            <w:gridSpan w:val="3"/>
            <w:tcBorders>
              <w:tl2br w:val="nil"/>
              <w:tr2bl w:val="nil"/>
            </w:tcBorders>
            <w:shd w:val="clear" w:color="auto" w:fill="auto"/>
            <w:noWrap/>
            <w:vAlign w:val="center"/>
          </w:tcPr>
          <w:p w14:paraId="094EFCB4">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97.92%</w:t>
            </w:r>
          </w:p>
        </w:tc>
        <w:tc>
          <w:tcPr>
            <w:tcW w:w="843" w:type="dxa"/>
            <w:gridSpan w:val="2"/>
            <w:tcBorders>
              <w:tl2br w:val="nil"/>
              <w:tr2bl w:val="nil"/>
            </w:tcBorders>
            <w:shd w:val="clear" w:color="auto" w:fill="auto"/>
            <w:noWrap/>
            <w:vAlign w:val="center"/>
          </w:tcPr>
          <w:p w14:paraId="6F4EE480">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15.00</w:t>
            </w:r>
          </w:p>
        </w:tc>
        <w:tc>
          <w:tcPr>
            <w:tcW w:w="814" w:type="dxa"/>
            <w:tcBorders>
              <w:tl2br w:val="nil"/>
              <w:tr2bl w:val="nil"/>
            </w:tcBorders>
            <w:shd w:val="clear" w:color="auto" w:fill="auto"/>
            <w:noWrap/>
            <w:vAlign w:val="center"/>
          </w:tcPr>
          <w:p w14:paraId="7F581D9F">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15.00</w:t>
            </w:r>
          </w:p>
        </w:tc>
        <w:tc>
          <w:tcPr>
            <w:tcW w:w="942" w:type="dxa"/>
            <w:gridSpan w:val="3"/>
            <w:tcBorders>
              <w:tl2br w:val="nil"/>
              <w:tr2bl w:val="nil"/>
            </w:tcBorders>
            <w:shd w:val="clear" w:color="auto" w:fill="auto"/>
            <w:vAlign w:val="center"/>
          </w:tcPr>
          <w:p w14:paraId="3F9C14C0">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100.00%</w:t>
            </w:r>
          </w:p>
        </w:tc>
      </w:tr>
      <w:tr w14:paraId="588175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gridBefore w:val="1"/>
          <w:wBefore w:w="2" w:type="dxa"/>
          <w:trHeight w:val="280" w:hRule="atLeast"/>
        </w:trPr>
        <w:tc>
          <w:tcPr>
            <w:tcW w:w="9639" w:type="dxa"/>
            <w:gridSpan w:val="9"/>
            <w:tcBorders>
              <w:tl2br w:val="nil"/>
              <w:tr2bl w:val="nil"/>
            </w:tcBorders>
            <w:shd w:val="clear" w:color="auto" w:fill="auto"/>
            <w:vAlign w:val="center"/>
          </w:tcPr>
          <w:p w14:paraId="235BCDA4">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小计</w:t>
            </w:r>
          </w:p>
        </w:tc>
        <w:tc>
          <w:tcPr>
            <w:tcW w:w="929" w:type="dxa"/>
            <w:gridSpan w:val="2"/>
            <w:tcBorders>
              <w:tl2br w:val="nil"/>
              <w:tr2bl w:val="nil"/>
            </w:tcBorders>
            <w:shd w:val="clear" w:color="auto" w:fill="auto"/>
            <w:vAlign w:val="center"/>
          </w:tcPr>
          <w:p w14:paraId="52C86A2B">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p>
        </w:tc>
        <w:tc>
          <w:tcPr>
            <w:tcW w:w="886" w:type="dxa"/>
            <w:gridSpan w:val="3"/>
            <w:tcBorders>
              <w:tl2br w:val="nil"/>
              <w:tr2bl w:val="nil"/>
            </w:tcBorders>
            <w:shd w:val="clear" w:color="auto" w:fill="auto"/>
            <w:noWrap/>
            <w:vAlign w:val="center"/>
          </w:tcPr>
          <w:p w14:paraId="5A913603">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p>
        </w:tc>
        <w:tc>
          <w:tcPr>
            <w:tcW w:w="843" w:type="dxa"/>
            <w:gridSpan w:val="2"/>
            <w:tcBorders>
              <w:tl2br w:val="nil"/>
              <w:tr2bl w:val="nil"/>
            </w:tcBorders>
            <w:shd w:val="clear" w:color="auto" w:fill="auto"/>
            <w:noWrap/>
            <w:vAlign w:val="center"/>
          </w:tcPr>
          <w:p w14:paraId="092AEF96">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35.00</w:t>
            </w:r>
          </w:p>
        </w:tc>
        <w:tc>
          <w:tcPr>
            <w:tcW w:w="814" w:type="dxa"/>
            <w:tcBorders>
              <w:tl2br w:val="nil"/>
              <w:tr2bl w:val="nil"/>
            </w:tcBorders>
            <w:shd w:val="clear" w:color="auto" w:fill="auto"/>
            <w:noWrap/>
            <w:vAlign w:val="center"/>
          </w:tcPr>
          <w:p w14:paraId="0E870D3F">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35.00</w:t>
            </w:r>
          </w:p>
        </w:tc>
        <w:tc>
          <w:tcPr>
            <w:tcW w:w="942" w:type="dxa"/>
            <w:gridSpan w:val="3"/>
            <w:tcBorders>
              <w:tl2br w:val="nil"/>
              <w:tr2bl w:val="nil"/>
            </w:tcBorders>
            <w:shd w:val="clear" w:color="auto" w:fill="auto"/>
            <w:vAlign w:val="center"/>
          </w:tcPr>
          <w:p w14:paraId="23D60814">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100.00%</w:t>
            </w:r>
          </w:p>
        </w:tc>
      </w:tr>
      <w:tr w14:paraId="1C8098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gridBefore w:val="1"/>
          <w:wBefore w:w="2" w:type="dxa"/>
          <w:trHeight w:val="382" w:hRule="atLeast"/>
        </w:trPr>
        <w:tc>
          <w:tcPr>
            <w:tcW w:w="9639" w:type="dxa"/>
            <w:gridSpan w:val="9"/>
            <w:tcBorders>
              <w:tl2br w:val="nil"/>
              <w:tr2bl w:val="nil"/>
            </w:tcBorders>
            <w:shd w:val="clear" w:color="auto" w:fill="auto"/>
            <w:noWrap/>
            <w:vAlign w:val="center"/>
          </w:tcPr>
          <w:p w14:paraId="6E12E662">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合计</w:t>
            </w:r>
          </w:p>
        </w:tc>
        <w:tc>
          <w:tcPr>
            <w:tcW w:w="929" w:type="dxa"/>
            <w:gridSpan w:val="2"/>
            <w:tcBorders>
              <w:tl2br w:val="nil"/>
              <w:tr2bl w:val="nil"/>
            </w:tcBorders>
            <w:shd w:val="clear" w:color="auto" w:fill="auto"/>
            <w:vAlign w:val="center"/>
          </w:tcPr>
          <w:p w14:paraId="6153A59A">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p>
        </w:tc>
        <w:tc>
          <w:tcPr>
            <w:tcW w:w="886" w:type="dxa"/>
            <w:gridSpan w:val="3"/>
            <w:tcBorders>
              <w:tl2br w:val="nil"/>
              <w:tr2bl w:val="nil"/>
            </w:tcBorders>
            <w:shd w:val="clear" w:color="auto" w:fill="auto"/>
            <w:noWrap/>
            <w:vAlign w:val="center"/>
          </w:tcPr>
          <w:p w14:paraId="51E8FF76">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p>
        </w:tc>
        <w:tc>
          <w:tcPr>
            <w:tcW w:w="843" w:type="dxa"/>
            <w:gridSpan w:val="2"/>
            <w:tcBorders>
              <w:tl2br w:val="nil"/>
              <w:tr2bl w:val="nil"/>
            </w:tcBorders>
            <w:shd w:val="clear" w:color="auto" w:fill="auto"/>
            <w:noWrap/>
            <w:vAlign w:val="center"/>
          </w:tcPr>
          <w:p w14:paraId="62347FD1">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val="en-US" w:eastAsia="zh-CN" w:bidi="ar"/>
              </w:rPr>
              <w:t>100.00</w:t>
            </w:r>
          </w:p>
        </w:tc>
        <w:tc>
          <w:tcPr>
            <w:tcW w:w="814" w:type="dxa"/>
            <w:tcBorders>
              <w:tl2br w:val="nil"/>
              <w:tr2bl w:val="nil"/>
            </w:tcBorders>
            <w:shd w:val="clear" w:color="auto" w:fill="auto"/>
            <w:noWrap/>
            <w:vAlign w:val="center"/>
          </w:tcPr>
          <w:p w14:paraId="02511BCB">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val="en-US" w:bidi="ar"/>
              </w:rPr>
            </w:pPr>
            <w:r>
              <w:rPr>
                <w:rFonts w:hint="eastAsia" w:eastAsia="宋体" w:cs="Times New Roman"/>
                <w:color w:val="auto"/>
                <w:kern w:val="0"/>
                <w:sz w:val="20"/>
                <w:szCs w:val="20"/>
                <w:lang w:val="en-US" w:eastAsia="zh-CN" w:bidi="ar"/>
              </w:rPr>
              <w:t>87.87</w:t>
            </w:r>
          </w:p>
        </w:tc>
        <w:tc>
          <w:tcPr>
            <w:tcW w:w="942" w:type="dxa"/>
            <w:gridSpan w:val="3"/>
            <w:tcBorders>
              <w:tl2br w:val="nil"/>
              <w:tr2bl w:val="nil"/>
            </w:tcBorders>
            <w:shd w:val="clear" w:color="auto" w:fill="auto"/>
            <w:vAlign w:val="center"/>
          </w:tcPr>
          <w:p w14:paraId="7AB64E23">
            <w:pPr>
              <w:keepNext/>
              <w:pageBreakBefore w:val="0"/>
              <w:widowControl/>
              <w:kinsoku/>
              <w:wordWrap/>
              <w:overflowPunct/>
              <w:topLinePunct w:val="0"/>
              <w:autoSpaceDE/>
              <w:autoSpaceDN/>
              <w:bidi w:val="0"/>
              <w:adjustRightInd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eastAsia" w:eastAsia="宋体" w:cs="Times New Roman"/>
                <w:color w:val="auto"/>
                <w:kern w:val="0"/>
                <w:sz w:val="20"/>
                <w:szCs w:val="20"/>
                <w:lang w:val="en-US" w:eastAsia="zh-CN" w:bidi="ar"/>
              </w:rPr>
              <w:t>87.87 %</w:t>
            </w:r>
          </w:p>
        </w:tc>
      </w:tr>
    </w:tbl>
    <w:p w14:paraId="3B5ABA01">
      <w:pPr>
        <w:pageBreakBefore w:val="0"/>
        <w:kinsoku/>
        <w:wordWrap/>
        <w:overflowPunct/>
        <w:topLinePunct w:val="0"/>
        <w:autoSpaceDE/>
        <w:autoSpaceDN/>
        <w:bidi w:val="0"/>
        <w:snapToGrid w:val="0"/>
        <w:spacing w:line="360" w:lineRule="auto"/>
        <w:ind w:firstLine="420"/>
        <w:rPr>
          <w:rFonts w:ascii="Times New Roman" w:hAnsi="Times New Roman" w:cs="Times New Roman"/>
          <w:color w:val="auto"/>
        </w:rPr>
        <w:sectPr>
          <w:footerReference r:id="rId17" w:type="default"/>
          <w:pgSz w:w="16838" w:h="11906" w:orient="landscape"/>
          <w:pgMar w:top="1800" w:right="1440" w:bottom="1800" w:left="1440" w:header="851" w:footer="964" w:gutter="0"/>
          <w:pgBorders>
            <w:top w:val="none" w:sz="0" w:space="0"/>
            <w:left w:val="none" w:sz="0" w:space="0"/>
            <w:bottom w:val="none" w:sz="0" w:space="0"/>
            <w:right w:val="none" w:sz="0" w:space="0"/>
          </w:pgBorders>
          <w:pgNumType w:fmt="decimal"/>
          <w:cols w:space="425" w:num="1"/>
          <w:rtlGutter w:val="0"/>
          <w:docGrid w:type="lines" w:linePitch="312" w:charSpace="0"/>
        </w:sectPr>
      </w:pPr>
    </w:p>
    <w:p w14:paraId="17762441">
      <w:pPr>
        <w:pageBreakBefore w:val="0"/>
        <w:kinsoku/>
        <w:wordWrap/>
        <w:overflowPunct/>
        <w:topLinePunct w:val="0"/>
        <w:autoSpaceDE/>
        <w:autoSpaceDN/>
        <w:bidi w:val="0"/>
        <w:snapToGrid w:val="0"/>
        <w:ind w:firstLineChars="0"/>
        <w:rPr>
          <w:rFonts w:ascii="Times New Roman" w:hAnsi="Times New Roman" w:cs="Times New Roman"/>
          <w:color w:val="auto"/>
        </w:rPr>
      </w:pPr>
      <w:bookmarkStart w:id="97" w:name="_Toc12265"/>
      <w:bookmarkStart w:id="98" w:name="_Toc6006"/>
      <w:bookmarkStart w:id="99" w:name="_Toc25777"/>
      <w:r>
        <w:rPr>
          <w:rFonts w:ascii="Times New Roman" w:hAnsi="Times New Roman" w:cs="Times New Roman"/>
          <w:color w:val="auto"/>
        </w:rPr>
        <w:br w:type="page"/>
      </w:r>
    </w:p>
    <w:p w14:paraId="2F922350">
      <w:pPr>
        <w:pStyle w:val="4"/>
        <w:pageBreakBefore w:val="0"/>
        <w:kinsoku/>
        <w:wordWrap/>
        <w:overflowPunct/>
        <w:topLinePunct w:val="0"/>
        <w:autoSpaceDE/>
        <w:autoSpaceDN/>
        <w:bidi w:val="0"/>
        <w:snapToGrid w:val="0"/>
        <w:spacing w:line="360" w:lineRule="auto"/>
        <w:ind w:firstLine="0" w:firstLineChars="0"/>
        <w:rPr>
          <w:rFonts w:hint="eastAsia" w:ascii="Times New Roman" w:hAnsi="Times New Roman" w:cs="Times New Roman" w:eastAsiaTheme="minorEastAsia"/>
          <w:color w:val="auto"/>
          <w:lang w:val="en-US" w:eastAsia="zh-CN"/>
        </w:rPr>
      </w:pPr>
      <w:bookmarkStart w:id="100" w:name="_Toc20185"/>
      <w:r>
        <w:rPr>
          <w:rFonts w:ascii="Times New Roman" w:hAnsi="Times New Roman" w:cs="Times New Roman"/>
          <w:color w:val="auto"/>
        </w:rPr>
        <w:t>附件2：基础表</w:t>
      </w:r>
      <w:bookmarkEnd w:id="97"/>
      <w:bookmarkEnd w:id="98"/>
      <w:bookmarkEnd w:id="99"/>
      <w:bookmarkEnd w:id="100"/>
    </w:p>
    <w:p w14:paraId="1738E20F">
      <w:pPr>
        <w:spacing w:line="240" w:lineRule="auto"/>
        <w:ind w:left="0" w:leftChars="0" w:firstLine="0" w:firstLineChars="0"/>
        <w:jc w:val="center"/>
        <w:outlineLvl w:val="2"/>
        <w:rPr>
          <w:rFonts w:hint="default" w:ascii="Times New Roman" w:hAnsi="Times New Roman" w:eastAsia="宋体" w:cs="Times New Roman"/>
          <w:b/>
          <w:bCs/>
          <w:i w:val="0"/>
          <w:iCs w:val="0"/>
          <w:color w:val="auto"/>
          <w:kern w:val="0"/>
          <w:sz w:val="24"/>
          <w:szCs w:val="24"/>
          <w:highlight w:val="none"/>
          <w:u w:val="none"/>
          <w:lang w:val="en-US" w:eastAsia="zh-CN" w:bidi="ar"/>
        </w:rPr>
      </w:pPr>
      <w:r>
        <w:rPr>
          <w:rFonts w:hint="default" w:ascii="Times New Roman" w:hAnsi="Times New Roman" w:eastAsia="宋体" w:cs="Times New Roman"/>
          <w:b/>
          <w:bCs/>
          <w:i w:val="0"/>
          <w:iCs w:val="0"/>
          <w:color w:val="auto"/>
          <w:kern w:val="0"/>
          <w:sz w:val="24"/>
          <w:szCs w:val="24"/>
          <w:highlight w:val="none"/>
          <w:u w:val="none"/>
          <w:lang w:val="en-US" w:eastAsia="zh-CN" w:bidi="ar"/>
        </w:rPr>
        <w:t>基础表</w:t>
      </w:r>
      <w:r>
        <w:rPr>
          <w:rFonts w:hint="eastAsia" w:eastAsia="宋体" w:cs="Times New Roman"/>
          <w:b/>
          <w:bCs/>
          <w:i w:val="0"/>
          <w:iCs w:val="0"/>
          <w:color w:val="auto"/>
          <w:kern w:val="0"/>
          <w:sz w:val="24"/>
          <w:szCs w:val="24"/>
          <w:highlight w:val="none"/>
          <w:u w:val="none"/>
          <w:lang w:val="en-US" w:eastAsia="zh-CN" w:bidi="ar"/>
        </w:rPr>
        <w:t>1：</w:t>
      </w:r>
      <w:r>
        <w:rPr>
          <w:rFonts w:hint="default" w:ascii="Times New Roman" w:hAnsi="Times New Roman" w:eastAsia="宋体" w:cs="Times New Roman"/>
          <w:b/>
          <w:bCs/>
          <w:i w:val="0"/>
          <w:iCs w:val="0"/>
          <w:color w:val="auto"/>
          <w:kern w:val="0"/>
          <w:sz w:val="24"/>
          <w:szCs w:val="24"/>
          <w:highlight w:val="none"/>
          <w:u w:val="none"/>
          <w:lang w:val="en-US" w:eastAsia="zh-CN" w:bidi="ar"/>
        </w:rPr>
        <w:t>伊宁县“福彩圆梦 孤儿助学工程”项目</w:t>
      </w:r>
      <w:r>
        <w:rPr>
          <w:rFonts w:hint="eastAsia" w:eastAsia="宋体" w:cs="Times New Roman"/>
          <w:b/>
          <w:bCs/>
          <w:i w:val="0"/>
          <w:iCs w:val="0"/>
          <w:color w:val="auto"/>
          <w:kern w:val="0"/>
          <w:sz w:val="24"/>
          <w:szCs w:val="24"/>
          <w:highlight w:val="none"/>
          <w:u w:val="none"/>
          <w:lang w:val="en-US" w:eastAsia="zh-CN" w:bidi="ar"/>
        </w:rPr>
        <w:t>学生管理统计表</w:t>
      </w:r>
    </w:p>
    <w:p w14:paraId="5F7B99A7">
      <w:pPr>
        <w:spacing w:line="240" w:lineRule="auto"/>
        <w:ind w:left="0" w:leftChars="0" w:firstLine="0" w:firstLineChars="0"/>
        <w:jc w:val="right"/>
        <w:rPr>
          <w:rFonts w:hint="default" w:ascii="Times New Roman" w:hAnsi="Times New Roman" w:eastAsia="宋体" w:cs="Times New Roman"/>
          <w:b/>
          <w:bCs/>
          <w:i w:val="0"/>
          <w:iCs w:val="0"/>
          <w:color w:val="auto"/>
          <w:kern w:val="0"/>
          <w:sz w:val="24"/>
          <w:szCs w:val="24"/>
          <w:highlight w:val="none"/>
          <w:u w:val="none"/>
          <w:lang w:val="en-US" w:eastAsia="zh-CN" w:bidi="ar"/>
        </w:rPr>
      </w:pPr>
      <w:r>
        <w:rPr>
          <w:rFonts w:hint="default" w:ascii="Times New Roman" w:hAnsi="Times New Roman" w:eastAsia="宋体" w:cs="Times New Roman"/>
          <w:b/>
          <w:bCs/>
          <w:i w:val="0"/>
          <w:iCs w:val="0"/>
          <w:color w:val="auto"/>
          <w:kern w:val="0"/>
          <w:sz w:val="22"/>
          <w:szCs w:val="22"/>
          <w:highlight w:val="none"/>
          <w:u w:val="none"/>
          <w:lang w:val="en-US" w:eastAsia="zh-CN" w:bidi="ar"/>
        </w:rPr>
        <w:t>单位：万元</w:t>
      </w:r>
    </w:p>
    <w:tbl>
      <w:tblPr>
        <w:tblStyle w:val="18"/>
        <w:tblW w:w="4997"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51" w:type="dxa"/>
          <w:bottom w:w="0" w:type="dxa"/>
          <w:right w:w="51" w:type="dxa"/>
        </w:tblCellMar>
      </w:tblPr>
      <w:tblGrid>
        <w:gridCol w:w="505"/>
        <w:gridCol w:w="1619"/>
        <w:gridCol w:w="610"/>
        <w:gridCol w:w="742"/>
        <w:gridCol w:w="579"/>
        <w:gridCol w:w="2864"/>
        <w:gridCol w:w="776"/>
        <w:gridCol w:w="1462"/>
        <w:gridCol w:w="1271"/>
        <w:gridCol w:w="658"/>
        <w:gridCol w:w="689"/>
        <w:gridCol w:w="2277"/>
      </w:tblGrid>
      <w:tr w14:paraId="560951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1" w:type="dxa"/>
            <w:bottom w:w="0" w:type="dxa"/>
            <w:right w:w="51" w:type="dxa"/>
          </w:tblCellMar>
        </w:tblPrEx>
        <w:trPr>
          <w:trHeight w:val="283" w:hRule="atLeast"/>
          <w:tblHeader/>
          <w:jc w:val="center"/>
        </w:trPr>
        <w:tc>
          <w:tcPr>
            <w:tcW w:w="18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D9291E">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序号</w:t>
            </w:r>
          </w:p>
        </w:tc>
        <w:tc>
          <w:tcPr>
            <w:tcW w:w="57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F43A2B">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姓名</w:t>
            </w:r>
          </w:p>
        </w:tc>
        <w:tc>
          <w:tcPr>
            <w:tcW w:w="21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2B34C7">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性别</w:t>
            </w:r>
          </w:p>
        </w:tc>
        <w:tc>
          <w:tcPr>
            <w:tcW w:w="26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F35256">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民族</w:t>
            </w:r>
          </w:p>
        </w:tc>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CE9F7B">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年龄</w:t>
            </w:r>
          </w:p>
        </w:tc>
        <w:tc>
          <w:tcPr>
            <w:tcW w:w="101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661347">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在读学校</w:t>
            </w:r>
          </w:p>
        </w:tc>
        <w:tc>
          <w:tcPr>
            <w:tcW w:w="27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F83B2C">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学历</w:t>
            </w:r>
          </w:p>
        </w:tc>
        <w:tc>
          <w:tcPr>
            <w:tcW w:w="52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DC2D36">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考入时间</w:t>
            </w:r>
          </w:p>
        </w:tc>
        <w:tc>
          <w:tcPr>
            <w:tcW w:w="451" w:type="pct"/>
            <w:vMerge w:val="restart"/>
            <w:tcBorders>
              <w:top w:val="single" w:color="000000" w:sz="4" w:space="0"/>
              <w:left w:val="single" w:color="000000" w:sz="4" w:space="0"/>
              <w:right w:val="single" w:color="000000" w:sz="4" w:space="0"/>
            </w:tcBorders>
            <w:shd w:val="clear" w:color="auto" w:fill="auto"/>
            <w:vAlign w:val="center"/>
          </w:tcPr>
          <w:p w14:paraId="5B484534">
            <w:pPr>
              <w:keepNext w:val="0"/>
              <w:keepLines w:val="0"/>
              <w:widowControl/>
              <w:suppressLineNumbers w:val="0"/>
              <w:spacing w:line="240" w:lineRule="auto"/>
              <w:ind w:firstLine="0" w:firstLineChars="0"/>
              <w:jc w:val="center"/>
              <w:textAlignment w:val="center"/>
              <w:rPr>
                <w:rFonts w:hint="default" w:ascii="宋体" w:hAnsi="宋体" w:eastAsia="宋体" w:cs="宋体"/>
                <w:b/>
                <w:bCs/>
                <w:i w:val="0"/>
                <w:iCs w:val="0"/>
                <w:color w:val="auto"/>
                <w:kern w:val="0"/>
                <w:sz w:val="21"/>
                <w:szCs w:val="21"/>
                <w:u w:val="none"/>
                <w:lang w:val="en-US" w:eastAsia="zh-CN" w:bidi="ar"/>
              </w:rPr>
            </w:pPr>
            <w:r>
              <w:rPr>
                <w:rFonts w:hint="eastAsia" w:ascii="宋体" w:hAnsi="宋体" w:eastAsia="宋体" w:cs="宋体"/>
                <w:b/>
                <w:bCs/>
                <w:i w:val="0"/>
                <w:iCs w:val="0"/>
                <w:color w:val="auto"/>
                <w:kern w:val="0"/>
                <w:sz w:val="21"/>
                <w:szCs w:val="21"/>
                <w:u w:val="none"/>
                <w:lang w:val="en-US" w:eastAsia="zh-CN" w:bidi="ar"/>
              </w:rPr>
              <w:t>学籍</w:t>
            </w:r>
          </w:p>
        </w:tc>
        <w:tc>
          <w:tcPr>
            <w:tcW w:w="4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3B700E">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学费标准</w:t>
            </w:r>
          </w:p>
        </w:tc>
        <w:tc>
          <w:tcPr>
            <w:tcW w:w="810" w:type="pct"/>
            <w:vMerge w:val="restart"/>
            <w:tcBorders>
              <w:top w:val="single" w:color="000000" w:sz="4" w:space="0"/>
              <w:left w:val="single" w:color="000000" w:sz="4" w:space="0"/>
              <w:right w:val="single" w:color="000000" w:sz="4" w:space="0"/>
            </w:tcBorders>
            <w:shd w:val="clear" w:color="auto" w:fill="auto"/>
            <w:vAlign w:val="center"/>
          </w:tcPr>
          <w:p w14:paraId="3B0BDBB1">
            <w:pPr>
              <w:keepNext w:val="0"/>
              <w:keepLines w:val="0"/>
              <w:widowControl/>
              <w:suppressLineNumbers w:val="0"/>
              <w:spacing w:line="240" w:lineRule="auto"/>
              <w:ind w:firstLine="0" w:firstLineChars="0"/>
              <w:jc w:val="center"/>
              <w:textAlignment w:val="center"/>
              <w:rPr>
                <w:rFonts w:hint="default" w:ascii="宋体" w:hAnsi="宋体" w:eastAsia="宋体" w:cs="宋体"/>
                <w:b/>
                <w:bCs/>
                <w:i w:val="0"/>
                <w:iCs w:val="0"/>
                <w:color w:val="auto"/>
                <w:kern w:val="0"/>
                <w:sz w:val="21"/>
                <w:szCs w:val="21"/>
                <w:u w:val="none"/>
                <w:lang w:val="en-US" w:eastAsia="zh-CN" w:bidi="ar"/>
              </w:rPr>
            </w:pPr>
            <w:r>
              <w:rPr>
                <w:rFonts w:hint="eastAsia" w:ascii="宋体" w:hAnsi="宋体" w:eastAsia="宋体" w:cs="宋体"/>
                <w:b/>
                <w:bCs/>
                <w:i w:val="0"/>
                <w:iCs w:val="0"/>
                <w:color w:val="auto"/>
                <w:kern w:val="0"/>
                <w:sz w:val="21"/>
                <w:szCs w:val="21"/>
                <w:u w:val="none"/>
                <w:lang w:val="en-US" w:eastAsia="zh-CN" w:bidi="ar"/>
              </w:rPr>
              <w:t>学费标准</w:t>
            </w:r>
          </w:p>
        </w:tc>
      </w:tr>
      <w:tr w14:paraId="268A5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283" w:hRule="atLeast"/>
          <w:tblHeader/>
          <w:jc w:val="center"/>
        </w:trPr>
        <w:tc>
          <w:tcPr>
            <w:tcW w:w="1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5AFB08">
            <w:pPr>
              <w:spacing w:line="240" w:lineRule="auto"/>
              <w:jc w:val="center"/>
              <w:rPr>
                <w:rFonts w:hint="eastAsia" w:ascii="宋体" w:hAnsi="宋体" w:eastAsia="宋体" w:cs="宋体"/>
                <w:b/>
                <w:bCs/>
                <w:i w:val="0"/>
                <w:iCs w:val="0"/>
                <w:color w:val="auto"/>
                <w:sz w:val="21"/>
                <w:szCs w:val="21"/>
                <w:u w:val="none"/>
              </w:rPr>
            </w:pPr>
          </w:p>
        </w:tc>
        <w:tc>
          <w:tcPr>
            <w:tcW w:w="5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4E0196">
            <w:pPr>
              <w:spacing w:line="240" w:lineRule="auto"/>
              <w:jc w:val="center"/>
              <w:rPr>
                <w:rFonts w:hint="eastAsia" w:ascii="宋体" w:hAnsi="宋体" w:eastAsia="宋体" w:cs="宋体"/>
                <w:b/>
                <w:bCs/>
                <w:i w:val="0"/>
                <w:iCs w:val="0"/>
                <w:color w:val="auto"/>
                <w:sz w:val="21"/>
                <w:szCs w:val="21"/>
                <w:u w:val="none"/>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B08BBF">
            <w:pPr>
              <w:spacing w:line="240" w:lineRule="auto"/>
              <w:jc w:val="center"/>
              <w:rPr>
                <w:rFonts w:hint="eastAsia" w:ascii="宋体" w:hAnsi="宋体" w:eastAsia="宋体" w:cs="宋体"/>
                <w:b/>
                <w:bCs/>
                <w:i w:val="0"/>
                <w:iCs w:val="0"/>
                <w:color w:val="auto"/>
                <w:sz w:val="21"/>
                <w:szCs w:val="21"/>
                <w:u w:val="none"/>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0D4A6C">
            <w:pPr>
              <w:spacing w:line="240" w:lineRule="auto"/>
              <w:jc w:val="center"/>
              <w:rPr>
                <w:rFonts w:hint="eastAsia" w:ascii="宋体" w:hAnsi="宋体" w:eastAsia="宋体" w:cs="宋体"/>
                <w:b/>
                <w:bCs/>
                <w:i w:val="0"/>
                <w:iCs w:val="0"/>
                <w:color w:val="auto"/>
                <w:sz w:val="21"/>
                <w:szCs w:val="21"/>
                <w:u w:val="none"/>
              </w:rPr>
            </w:pPr>
          </w:p>
        </w:tc>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0A9F8E">
            <w:pPr>
              <w:spacing w:line="240" w:lineRule="auto"/>
              <w:jc w:val="center"/>
              <w:rPr>
                <w:rFonts w:hint="eastAsia" w:ascii="宋体" w:hAnsi="宋体" w:eastAsia="宋体" w:cs="宋体"/>
                <w:b/>
                <w:bCs/>
                <w:i w:val="0"/>
                <w:iCs w:val="0"/>
                <w:color w:val="auto"/>
                <w:sz w:val="21"/>
                <w:szCs w:val="21"/>
                <w:u w:val="none"/>
              </w:rPr>
            </w:pPr>
          </w:p>
        </w:tc>
        <w:tc>
          <w:tcPr>
            <w:tcW w:w="10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99079D">
            <w:pPr>
              <w:spacing w:line="240" w:lineRule="auto"/>
              <w:jc w:val="center"/>
              <w:rPr>
                <w:rFonts w:hint="eastAsia" w:ascii="宋体" w:hAnsi="宋体" w:eastAsia="宋体" w:cs="宋体"/>
                <w:b/>
                <w:bCs/>
                <w:i w:val="0"/>
                <w:iCs w:val="0"/>
                <w:color w:val="auto"/>
                <w:sz w:val="21"/>
                <w:szCs w:val="21"/>
                <w:u w:val="none"/>
              </w:rPr>
            </w:pPr>
          </w:p>
        </w:tc>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4E377C">
            <w:pPr>
              <w:spacing w:line="240" w:lineRule="auto"/>
              <w:jc w:val="center"/>
              <w:rPr>
                <w:rFonts w:hint="eastAsia" w:ascii="宋体" w:hAnsi="宋体" w:eastAsia="宋体" w:cs="宋体"/>
                <w:b/>
                <w:bCs/>
                <w:i w:val="0"/>
                <w:iCs w:val="0"/>
                <w:color w:val="auto"/>
                <w:sz w:val="21"/>
                <w:szCs w:val="21"/>
                <w:u w:val="none"/>
              </w:rPr>
            </w:pPr>
          </w:p>
        </w:tc>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BA6815">
            <w:pPr>
              <w:spacing w:line="240" w:lineRule="auto"/>
              <w:jc w:val="center"/>
              <w:rPr>
                <w:rFonts w:hint="eastAsia" w:ascii="宋体" w:hAnsi="宋体" w:eastAsia="宋体" w:cs="宋体"/>
                <w:b/>
                <w:bCs/>
                <w:i w:val="0"/>
                <w:iCs w:val="0"/>
                <w:color w:val="auto"/>
                <w:sz w:val="21"/>
                <w:szCs w:val="21"/>
                <w:u w:val="none"/>
              </w:rPr>
            </w:pPr>
          </w:p>
        </w:tc>
        <w:tc>
          <w:tcPr>
            <w:tcW w:w="451" w:type="pct"/>
            <w:vMerge w:val="continue"/>
            <w:tcBorders>
              <w:left w:val="single" w:color="000000" w:sz="4" w:space="0"/>
              <w:bottom w:val="single" w:color="000000" w:sz="4" w:space="0"/>
              <w:right w:val="single" w:color="000000" w:sz="4" w:space="0"/>
            </w:tcBorders>
            <w:shd w:val="clear" w:color="auto" w:fill="auto"/>
            <w:vAlign w:val="center"/>
          </w:tcPr>
          <w:p w14:paraId="39271B4A">
            <w:pPr>
              <w:spacing w:line="240" w:lineRule="auto"/>
              <w:jc w:val="center"/>
              <w:rPr>
                <w:rFonts w:hint="eastAsia" w:ascii="宋体" w:hAnsi="宋体" w:eastAsia="宋体" w:cs="宋体"/>
                <w:b/>
                <w:bCs/>
                <w:i w:val="0"/>
                <w:iCs w:val="0"/>
                <w:color w:val="auto"/>
                <w:sz w:val="21"/>
                <w:szCs w:val="21"/>
                <w:u w:val="none"/>
              </w:rPr>
            </w:pPr>
          </w:p>
        </w:tc>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8DD7EB">
            <w:pPr>
              <w:spacing w:line="240" w:lineRule="auto"/>
              <w:ind w:firstLine="0" w:firstLineChars="0"/>
              <w:jc w:val="center"/>
              <w:rPr>
                <w:rFonts w:hint="default" w:ascii="宋体" w:hAnsi="宋体" w:eastAsia="宋体" w:cs="宋体"/>
                <w:b/>
                <w:bCs/>
                <w:i w:val="0"/>
                <w:iCs w:val="0"/>
                <w:color w:val="auto"/>
                <w:sz w:val="21"/>
                <w:szCs w:val="21"/>
                <w:u w:val="none"/>
                <w:lang w:val="en-US"/>
              </w:rPr>
            </w:pPr>
            <w:r>
              <w:rPr>
                <w:rFonts w:hint="eastAsia" w:ascii="宋体" w:hAnsi="宋体" w:eastAsia="宋体" w:cs="宋体"/>
                <w:b/>
                <w:bCs/>
                <w:i w:val="0"/>
                <w:iCs w:val="0"/>
                <w:color w:val="auto"/>
                <w:kern w:val="0"/>
                <w:sz w:val="21"/>
                <w:szCs w:val="21"/>
                <w:u w:val="none"/>
                <w:lang w:val="en-US" w:eastAsia="zh-CN" w:bidi="ar"/>
              </w:rPr>
              <w:t>应发金额</w:t>
            </w:r>
          </w:p>
        </w:tc>
        <w:tc>
          <w:tcPr>
            <w:tcW w:w="245" w:type="pct"/>
            <w:tcBorders>
              <w:top w:val="single" w:color="000000" w:sz="4" w:space="0"/>
              <w:left w:val="single" w:color="000000" w:sz="4" w:space="0"/>
              <w:right w:val="single" w:color="000000" w:sz="4" w:space="0"/>
            </w:tcBorders>
            <w:shd w:val="clear" w:color="auto" w:fill="auto"/>
            <w:vAlign w:val="center"/>
          </w:tcPr>
          <w:p w14:paraId="12BE4461">
            <w:pPr>
              <w:spacing w:line="240" w:lineRule="auto"/>
              <w:ind w:firstLine="0" w:firstLineChars="0"/>
              <w:jc w:val="center"/>
              <w:rPr>
                <w:rFonts w:hint="default" w:ascii="宋体" w:hAnsi="宋体" w:eastAsia="宋体" w:cs="宋体"/>
                <w:b/>
                <w:bCs/>
                <w:i w:val="0"/>
                <w:iCs w:val="0"/>
                <w:color w:val="auto"/>
                <w:sz w:val="21"/>
                <w:szCs w:val="21"/>
                <w:u w:val="none"/>
                <w:lang w:val="en-US" w:eastAsia="zh-CN"/>
              </w:rPr>
            </w:pPr>
            <w:r>
              <w:rPr>
                <w:rFonts w:hint="eastAsia" w:ascii="宋体" w:hAnsi="宋体" w:eastAsia="宋体" w:cs="宋体"/>
                <w:b/>
                <w:bCs/>
                <w:i w:val="0"/>
                <w:iCs w:val="0"/>
                <w:color w:val="auto"/>
                <w:sz w:val="21"/>
                <w:szCs w:val="21"/>
                <w:u w:val="none"/>
                <w:lang w:val="en-US" w:eastAsia="zh-CN"/>
              </w:rPr>
              <w:t>实发金额</w:t>
            </w:r>
          </w:p>
        </w:tc>
        <w:tc>
          <w:tcPr>
            <w:tcW w:w="810" w:type="pct"/>
            <w:vMerge w:val="continue"/>
            <w:tcBorders>
              <w:left w:val="single" w:color="000000" w:sz="4" w:space="0"/>
              <w:right w:val="single" w:color="000000" w:sz="4" w:space="0"/>
            </w:tcBorders>
            <w:shd w:val="clear" w:color="auto" w:fill="auto"/>
            <w:vAlign w:val="center"/>
          </w:tcPr>
          <w:p w14:paraId="164FB07A">
            <w:pPr>
              <w:spacing w:line="240" w:lineRule="auto"/>
              <w:jc w:val="center"/>
              <w:rPr>
                <w:rFonts w:hint="eastAsia" w:ascii="宋体" w:hAnsi="宋体" w:eastAsia="宋体" w:cs="宋体"/>
                <w:i w:val="0"/>
                <w:iCs w:val="0"/>
                <w:color w:val="auto"/>
                <w:sz w:val="21"/>
                <w:szCs w:val="21"/>
                <w:u w:val="none"/>
              </w:rPr>
            </w:pPr>
          </w:p>
        </w:tc>
      </w:tr>
      <w:tr w14:paraId="088622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283" w:hRule="atLeast"/>
          <w:jc w:val="center"/>
        </w:trPr>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05A8E8">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1</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B97C5A">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娜迪热·卡山</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F9879A">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女</w:t>
            </w: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6E9140">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哈</w:t>
            </w:r>
          </w:p>
        </w:tc>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20ABEB">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24</w:t>
            </w:r>
          </w:p>
        </w:tc>
        <w:tc>
          <w:tcPr>
            <w:tcW w:w="10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FC107D">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新疆大学</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4CED21">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本科</w:t>
            </w:r>
          </w:p>
        </w:tc>
        <w:tc>
          <w:tcPr>
            <w:tcW w:w="5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5805A5">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val="en-US" w:bidi="ar"/>
              </w:rPr>
            </w:pPr>
            <w:r>
              <w:rPr>
                <w:rFonts w:hint="default" w:ascii="Times New Roman" w:hAnsi="Times New Roman" w:eastAsia="宋体" w:cs="Times New Roman"/>
                <w:i w:val="0"/>
                <w:iCs w:val="0"/>
                <w:color w:val="auto"/>
                <w:kern w:val="0"/>
                <w:sz w:val="21"/>
                <w:szCs w:val="21"/>
                <w:u w:val="none"/>
                <w:lang w:val="en-US" w:eastAsia="zh-CN" w:bidi="ar"/>
              </w:rPr>
              <w:t>2021年8月</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1A03DE">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顺延学位</w:t>
            </w:r>
          </w:p>
        </w:tc>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8CBD12">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1.00</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6E2219">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1.00</w:t>
            </w:r>
          </w:p>
        </w:tc>
        <w:tc>
          <w:tcPr>
            <w:tcW w:w="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BEFD9E">
            <w:pPr>
              <w:keepNext w:val="0"/>
              <w:keepLines w:val="0"/>
              <w:widowControl/>
              <w:suppressLineNumbers w:val="0"/>
              <w:spacing w:line="240" w:lineRule="auto"/>
              <w:ind w:firstLine="0" w:firstLineChars="0"/>
              <w:jc w:val="lef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0.31万-0.40万元/生·年</w:t>
            </w:r>
          </w:p>
        </w:tc>
      </w:tr>
      <w:tr w14:paraId="65CAE4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467" w:hRule="atLeast"/>
          <w:jc w:val="center"/>
        </w:trPr>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8FBF2C">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6A13B6">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马利德</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80AA9B">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男</w:t>
            </w: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A90A72">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东乡</w:t>
            </w:r>
          </w:p>
        </w:tc>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714E0E">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21</w:t>
            </w:r>
          </w:p>
        </w:tc>
        <w:tc>
          <w:tcPr>
            <w:tcW w:w="10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B32269">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新疆昌吉学院</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DA60AB">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大专</w:t>
            </w:r>
          </w:p>
        </w:tc>
        <w:tc>
          <w:tcPr>
            <w:tcW w:w="5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278CBD">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val="en-US" w:bidi="ar"/>
              </w:rPr>
            </w:pPr>
            <w:r>
              <w:rPr>
                <w:rFonts w:hint="default" w:ascii="Times New Roman" w:hAnsi="Times New Roman" w:eastAsia="宋体" w:cs="Times New Roman"/>
                <w:i w:val="0"/>
                <w:iCs w:val="0"/>
                <w:color w:val="auto"/>
                <w:kern w:val="0"/>
                <w:sz w:val="21"/>
                <w:szCs w:val="21"/>
                <w:u w:val="none"/>
                <w:lang w:val="en-US" w:eastAsia="zh-CN" w:bidi="ar"/>
              </w:rPr>
              <w:t>2022年9月</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5B56A4">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顺延学位</w:t>
            </w:r>
          </w:p>
        </w:tc>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E1A626">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1.00</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511967">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1.00</w:t>
            </w:r>
          </w:p>
        </w:tc>
        <w:tc>
          <w:tcPr>
            <w:tcW w:w="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136912">
            <w:pPr>
              <w:keepNext w:val="0"/>
              <w:keepLines w:val="0"/>
              <w:widowControl/>
              <w:suppressLineNumbers w:val="0"/>
              <w:spacing w:line="240" w:lineRule="auto"/>
              <w:ind w:firstLine="0" w:firstLineChars="0"/>
              <w:jc w:val="lef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0.30万-0.40万元/生·年</w:t>
            </w:r>
          </w:p>
        </w:tc>
      </w:tr>
      <w:tr w14:paraId="14808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283" w:hRule="atLeast"/>
          <w:jc w:val="center"/>
        </w:trPr>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4F8A94">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3</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906663">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李爽</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FE9ADF">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男</w:t>
            </w: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C837BE">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汉</w:t>
            </w:r>
          </w:p>
        </w:tc>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E1515D">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21</w:t>
            </w:r>
          </w:p>
        </w:tc>
        <w:tc>
          <w:tcPr>
            <w:tcW w:w="10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8D89EB">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新疆生产建设兵团兴新职业技术学院</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B8AFD7">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大专</w:t>
            </w:r>
          </w:p>
        </w:tc>
        <w:tc>
          <w:tcPr>
            <w:tcW w:w="5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ACC897">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2022年9月</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E08C4A">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顺延学位</w:t>
            </w:r>
          </w:p>
        </w:tc>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88CE80">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1.00</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BFE873">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1.00</w:t>
            </w:r>
          </w:p>
        </w:tc>
        <w:tc>
          <w:tcPr>
            <w:tcW w:w="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D00329">
            <w:pPr>
              <w:keepNext w:val="0"/>
              <w:keepLines w:val="0"/>
              <w:widowControl/>
              <w:suppressLineNumbers w:val="0"/>
              <w:spacing w:line="240" w:lineRule="auto"/>
              <w:ind w:firstLine="0" w:firstLineChars="0"/>
              <w:jc w:val="lef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0.33万元/生·年</w:t>
            </w:r>
          </w:p>
        </w:tc>
      </w:tr>
      <w:tr w14:paraId="7A9346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283" w:hRule="atLeast"/>
          <w:jc w:val="center"/>
        </w:trPr>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264276">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4</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EA1978">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腊文斌</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99C5FE">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男</w:t>
            </w: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296DB5">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回</w:t>
            </w:r>
          </w:p>
        </w:tc>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A3EA33">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21</w:t>
            </w:r>
          </w:p>
        </w:tc>
        <w:tc>
          <w:tcPr>
            <w:tcW w:w="10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002A3E">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新疆生产建设兵团兴新职业技术学院</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F7BF27">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大专</w:t>
            </w:r>
          </w:p>
        </w:tc>
        <w:tc>
          <w:tcPr>
            <w:tcW w:w="5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B98BC8">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2022年9月</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5A3917">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顺延学位</w:t>
            </w:r>
          </w:p>
        </w:tc>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866B5B">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1.00</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64C732">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1.00</w:t>
            </w:r>
          </w:p>
        </w:tc>
        <w:tc>
          <w:tcPr>
            <w:tcW w:w="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F77596">
            <w:pPr>
              <w:keepNext w:val="0"/>
              <w:keepLines w:val="0"/>
              <w:widowControl/>
              <w:suppressLineNumbers w:val="0"/>
              <w:spacing w:line="240" w:lineRule="auto"/>
              <w:ind w:firstLine="0" w:firstLineChars="0"/>
              <w:jc w:val="lef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0.33万元/生·年</w:t>
            </w:r>
          </w:p>
        </w:tc>
      </w:tr>
      <w:tr w14:paraId="323A9E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283" w:hRule="atLeast"/>
          <w:jc w:val="center"/>
        </w:trPr>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EE03D3">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5</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3515BD">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阿克九勒·革命塔依</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F542DE">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男</w:t>
            </w: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3DE4BB">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哈</w:t>
            </w:r>
          </w:p>
        </w:tc>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7C1F36">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22</w:t>
            </w:r>
          </w:p>
        </w:tc>
        <w:tc>
          <w:tcPr>
            <w:tcW w:w="10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E204D1">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塔城职业技术学院</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1E2CDC">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大专</w:t>
            </w:r>
          </w:p>
        </w:tc>
        <w:tc>
          <w:tcPr>
            <w:tcW w:w="5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E1EED1">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2022年9月</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2FD874">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顺延学位</w:t>
            </w:r>
          </w:p>
        </w:tc>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3E1619">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1.00</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0C19DE">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1.00</w:t>
            </w:r>
          </w:p>
        </w:tc>
        <w:tc>
          <w:tcPr>
            <w:tcW w:w="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1F11B1">
            <w:pPr>
              <w:keepNext w:val="0"/>
              <w:keepLines w:val="0"/>
              <w:widowControl/>
              <w:suppressLineNumbers w:val="0"/>
              <w:spacing w:line="240" w:lineRule="auto"/>
              <w:ind w:firstLine="0" w:firstLineChars="0"/>
              <w:jc w:val="lef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0.29万-0.31万元/生·年</w:t>
            </w:r>
          </w:p>
        </w:tc>
      </w:tr>
      <w:tr w14:paraId="7014DC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283" w:hRule="atLeast"/>
          <w:jc w:val="center"/>
        </w:trPr>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BE3C13">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6</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7F03E0">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阿依库提·艾合买提江</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6B68C5">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女</w:t>
            </w: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C01C7F">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维</w:t>
            </w:r>
          </w:p>
        </w:tc>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E23026">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21</w:t>
            </w:r>
          </w:p>
        </w:tc>
        <w:tc>
          <w:tcPr>
            <w:tcW w:w="10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FEC0FA">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乌鲁木齐职业大学</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F9E485">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大专</w:t>
            </w:r>
          </w:p>
        </w:tc>
        <w:tc>
          <w:tcPr>
            <w:tcW w:w="5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17D21F">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2022年9月</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AAAB0F">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顺延学位</w:t>
            </w:r>
          </w:p>
        </w:tc>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B30ADF">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1.00</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8F49E3">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1.00</w:t>
            </w:r>
          </w:p>
        </w:tc>
        <w:tc>
          <w:tcPr>
            <w:tcW w:w="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0E9E9C">
            <w:pPr>
              <w:keepNext w:val="0"/>
              <w:keepLines w:val="0"/>
              <w:widowControl/>
              <w:suppressLineNumbers w:val="0"/>
              <w:spacing w:line="240" w:lineRule="auto"/>
              <w:ind w:firstLine="0" w:firstLineChars="0"/>
              <w:jc w:val="lef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0.29万-0.55万元/生·年</w:t>
            </w:r>
          </w:p>
        </w:tc>
      </w:tr>
      <w:tr w14:paraId="1A0DC7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283" w:hRule="atLeast"/>
          <w:jc w:val="center"/>
        </w:trPr>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C46D86">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7</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3047B9">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迪丽热巴·尼加提</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E79022">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女</w:t>
            </w: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41EE82">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哈</w:t>
            </w:r>
          </w:p>
        </w:tc>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F9F974">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w:t>
            </w:r>
          </w:p>
        </w:tc>
        <w:tc>
          <w:tcPr>
            <w:tcW w:w="10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58BA7C">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宁夏职业技术学院商学院</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ECCAA5">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大专</w:t>
            </w:r>
          </w:p>
        </w:tc>
        <w:tc>
          <w:tcPr>
            <w:tcW w:w="5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AE1AEB">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2022年9月</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AD03DE">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顺延学位</w:t>
            </w:r>
          </w:p>
        </w:tc>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E7E60B">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1.00</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27D2AA">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1.00</w:t>
            </w:r>
          </w:p>
        </w:tc>
        <w:tc>
          <w:tcPr>
            <w:tcW w:w="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28BC7B">
            <w:pPr>
              <w:keepNext w:val="0"/>
              <w:keepLines w:val="0"/>
              <w:widowControl/>
              <w:suppressLineNumbers w:val="0"/>
              <w:spacing w:line="240" w:lineRule="auto"/>
              <w:ind w:firstLine="0" w:firstLineChars="0"/>
              <w:jc w:val="lef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0.46万元/生·年</w:t>
            </w:r>
          </w:p>
        </w:tc>
      </w:tr>
      <w:tr w14:paraId="60E948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283" w:hRule="atLeast"/>
          <w:jc w:val="center"/>
        </w:trPr>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1CFAD0">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8</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18719E">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穆妮热·图尔干江</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FAD220">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女</w:t>
            </w: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8A6337">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维</w:t>
            </w:r>
          </w:p>
        </w:tc>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C68A80">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22</w:t>
            </w:r>
          </w:p>
        </w:tc>
        <w:tc>
          <w:tcPr>
            <w:tcW w:w="10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419506">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新疆轻工职业技术学院</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2D68F1">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大专</w:t>
            </w:r>
          </w:p>
        </w:tc>
        <w:tc>
          <w:tcPr>
            <w:tcW w:w="5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D78C29">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2022年9月</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45E310">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顺延学位</w:t>
            </w:r>
          </w:p>
        </w:tc>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29E5AD">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1.00</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774027">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1.00</w:t>
            </w:r>
          </w:p>
        </w:tc>
        <w:tc>
          <w:tcPr>
            <w:tcW w:w="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BC9570">
            <w:pPr>
              <w:keepNext w:val="0"/>
              <w:keepLines w:val="0"/>
              <w:widowControl/>
              <w:suppressLineNumbers w:val="0"/>
              <w:spacing w:line="240" w:lineRule="auto"/>
              <w:ind w:firstLine="0" w:firstLineChars="0"/>
              <w:jc w:val="lef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0.33万-0.78万元/生·年</w:t>
            </w:r>
          </w:p>
        </w:tc>
      </w:tr>
      <w:tr w14:paraId="3CF3CA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283" w:hRule="atLeast"/>
          <w:jc w:val="center"/>
        </w:trPr>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684590">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9</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ACE66F">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叶斯哈提·吐热安</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0D89CD">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男</w:t>
            </w: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D7B064">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哈</w:t>
            </w:r>
          </w:p>
        </w:tc>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24AA5C">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22</w:t>
            </w:r>
          </w:p>
        </w:tc>
        <w:tc>
          <w:tcPr>
            <w:tcW w:w="10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67B23C">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伊犁丝路职业学院</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A564C5">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大专</w:t>
            </w:r>
          </w:p>
        </w:tc>
        <w:tc>
          <w:tcPr>
            <w:tcW w:w="5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0D0282">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val="en-US" w:bidi="ar"/>
              </w:rPr>
            </w:pPr>
            <w:r>
              <w:rPr>
                <w:rFonts w:hint="default" w:ascii="Times New Roman" w:hAnsi="Times New Roman" w:eastAsia="宋体" w:cs="Times New Roman"/>
                <w:i w:val="0"/>
                <w:iCs w:val="0"/>
                <w:color w:val="auto"/>
                <w:kern w:val="0"/>
                <w:sz w:val="21"/>
                <w:szCs w:val="21"/>
                <w:u w:val="none"/>
                <w:lang w:val="en-US" w:eastAsia="zh-CN" w:bidi="ar"/>
              </w:rPr>
              <w:t>2020年9月</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71E892">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顺延学位</w:t>
            </w:r>
          </w:p>
        </w:tc>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1981E6">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1.00</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F5F3FC">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1.00</w:t>
            </w:r>
          </w:p>
        </w:tc>
        <w:tc>
          <w:tcPr>
            <w:tcW w:w="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154AEB">
            <w:pPr>
              <w:keepNext w:val="0"/>
              <w:keepLines w:val="0"/>
              <w:widowControl/>
              <w:suppressLineNumbers w:val="0"/>
              <w:spacing w:line="240" w:lineRule="auto"/>
              <w:ind w:firstLine="0" w:firstLineChars="0"/>
              <w:jc w:val="lef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0.33万-0.78万元/生·年</w:t>
            </w:r>
          </w:p>
        </w:tc>
      </w:tr>
      <w:tr w14:paraId="4D25C3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283" w:hRule="atLeast"/>
          <w:jc w:val="center"/>
        </w:trPr>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E69F9E">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10</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11EC7C">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伊力哈木江·阿不都艾尼</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44BFF1">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男</w:t>
            </w: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97F1F7">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维</w:t>
            </w:r>
          </w:p>
        </w:tc>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D4DFE7">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21</w:t>
            </w:r>
          </w:p>
        </w:tc>
        <w:tc>
          <w:tcPr>
            <w:tcW w:w="10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53AE95">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新疆艺术学院附中高等学院</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66CC5F">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大专</w:t>
            </w:r>
          </w:p>
        </w:tc>
        <w:tc>
          <w:tcPr>
            <w:tcW w:w="5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1934F6">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2020年9月</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723E42">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顺延学位</w:t>
            </w:r>
          </w:p>
        </w:tc>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81FF10">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1.00</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553FE6">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1.00</w:t>
            </w:r>
          </w:p>
        </w:tc>
        <w:tc>
          <w:tcPr>
            <w:tcW w:w="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729994">
            <w:pPr>
              <w:keepNext w:val="0"/>
              <w:keepLines w:val="0"/>
              <w:widowControl/>
              <w:suppressLineNumbers w:val="0"/>
              <w:spacing w:line="240" w:lineRule="auto"/>
              <w:ind w:firstLine="0" w:firstLineChars="0"/>
              <w:jc w:val="lef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0.32万-0.78万元/生·年</w:t>
            </w:r>
          </w:p>
        </w:tc>
      </w:tr>
      <w:tr w14:paraId="13991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283" w:hRule="atLeast"/>
          <w:jc w:val="center"/>
        </w:trPr>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AB882B">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11</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17B0A6">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梅文彬</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593582">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男</w:t>
            </w: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0011FA">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回</w:t>
            </w:r>
          </w:p>
        </w:tc>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494F35">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25</w:t>
            </w:r>
          </w:p>
        </w:tc>
        <w:tc>
          <w:tcPr>
            <w:tcW w:w="10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F2887E">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淮北师范大学</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874C23">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本科</w:t>
            </w:r>
          </w:p>
        </w:tc>
        <w:tc>
          <w:tcPr>
            <w:tcW w:w="5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2BCA2B">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val="en-US" w:bidi="ar"/>
              </w:rPr>
            </w:pPr>
            <w:r>
              <w:rPr>
                <w:rFonts w:hint="default" w:ascii="Times New Roman" w:hAnsi="Times New Roman" w:eastAsia="宋体" w:cs="Times New Roman"/>
                <w:i w:val="0"/>
                <w:iCs w:val="0"/>
                <w:color w:val="auto"/>
                <w:kern w:val="0"/>
                <w:sz w:val="21"/>
                <w:szCs w:val="21"/>
                <w:u w:val="none"/>
                <w:lang w:val="en-US" w:eastAsia="zh-CN" w:bidi="ar"/>
              </w:rPr>
              <w:t>2023年9月</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195BB4">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顺延学位</w:t>
            </w:r>
          </w:p>
        </w:tc>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C3E573">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1.00</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7AD183">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1.00</w:t>
            </w:r>
          </w:p>
        </w:tc>
        <w:tc>
          <w:tcPr>
            <w:tcW w:w="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6DE496">
            <w:pPr>
              <w:keepNext w:val="0"/>
              <w:keepLines w:val="0"/>
              <w:widowControl/>
              <w:suppressLineNumbers w:val="0"/>
              <w:spacing w:line="240" w:lineRule="auto"/>
              <w:ind w:firstLine="0" w:firstLineChars="0"/>
              <w:jc w:val="lef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0.49万-0.80万元/生·年</w:t>
            </w:r>
          </w:p>
        </w:tc>
      </w:tr>
      <w:tr w14:paraId="730394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283" w:hRule="atLeast"/>
          <w:jc w:val="center"/>
        </w:trPr>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FE653A">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12</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CA188A">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买克丽亚·库尔万江</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379EC9">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女</w:t>
            </w: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2BBBB8">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维</w:t>
            </w:r>
          </w:p>
        </w:tc>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0BAE49">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w:t>
            </w:r>
          </w:p>
        </w:tc>
        <w:tc>
          <w:tcPr>
            <w:tcW w:w="10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356B08">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和田师范专科学校</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5BECEF">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大专</w:t>
            </w:r>
          </w:p>
        </w:tc>
        <w:tc>
          <w:tcPr>
            <w:tcW w:w="5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0E800A">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2023年9月</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9A860A">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顺延学位</w:t>
            </w:r>
          </w:p>
        </w:tc>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6B1A97">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1.00</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C7A5BE">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1.00</w:t>
            </w:r>
          </w:p>
        </w:tc>
        <w:tc>
          <w:tcPr>
            <w:tcW w:w="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38D919">
            <w:pPr>
              <w:keepNext w:val="0"/>
              <w:keepLines w:val="0"/>
              <w:widowControl/>
              <w:suppressLineNumbers w:val="0"/>
              <w:spacing w:line="240" w:lineRule="auto"/>
              <w:ind w:firstLine="0" w:firstLineChars="0"/>
              <w:jc w:val="lef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0.29万-0.45万元/生·年</w:t>
            </w:r>
          </w:p>
        </w:tc>
      </w:tr>
      <w:tr w14:paraId="4277A2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283" w:hRule="atLeast"/>
          <w:jc w:val="center"/>
        </w:trPr>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32AE67">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13</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BC5B0F">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苏尼艳·阿力木江</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386D61">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女</w:t>
            </w: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6B0FC6">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维</w:t>
            </w:r>
          </w:p>
        </w:tc>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4E5520">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17</w:t>
            </w:r>
          </w:p>
        </w:tc>
        <w:tc>
          <w:tcPr>
            <w:tcW w:w="10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8D9F23">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石河子中山中等职业技术学校</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A5CD91">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中专</w:t>
            </w:r>
          </w:p>
        </w:tc>
        <w:tc>
          <w:tcPr>
            <w:tcW w:w="5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1B60EE">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2023年9月</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CD8A57">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顺延学位</w:t>
            </w:r>
          </w:p>
        </w:tc>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DC66BF">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0.50</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A95E0E">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0.50</w:t>
            </w:r>
          </w:p>
        </w:tc>
        <w:tc>
          <w:tcPr>
            <w:tcW w:w="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9DAB56">
            <w:pPr>
              <w:keepNext w:val="0"/>
              <w:keepLines w:val="0"/>
              <w:widowControl/>
              <w:suppressLineNumbers w:val="0"/>
              <w:spacing w:line="240" w:lineRule="auto"/>
              <w:ind w:firstLine="0" w:firstLineChars="0"/>
              <w:jc w:val="lef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0.20万-0.90万元/生·年</w:t>
            </w:r>
          </w:p>
        </w:tc>
      </w:tr>
      <w:tr w14:paraId="7F4FBD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283" w:hRule="atLeast"/>
          <w:jc w:val="center"/>
        </w:trPr>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2A3010">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14</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8A8319">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阿丽旦·先木西丁</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54069C">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女</w:t>
            </w: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48C334">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维</w:t>
            </w:r>
          </w:p>
        </w:tc>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B10DB5">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25</w:t>
            </w:r>
          </w:p>
        </w:tc>
        <w:tc>
          <w:tcPr>
            <w:tcW w:w="10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6F0B74">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中国石油大学</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F0E0CE">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本科</w:t>
            </w:r>
          </w:p>
        </w:tc>
        <w:tc>
          <w:tcPr>
            <w:tcW w:w="5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A9F29F">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val="en-US" w:bidi="ar"/>
              </w:rPr>
            </w:pPr>
            <w:r>
              <w:rPr>
                <w:rFonts w:hint="default" w:ascii="Times New Roman" w:hAnsi="Times New Roman" w:eastAsia="宋体" w:cs="Times New Roman"/>
                <w:i w:val="0"/>
                <w:iCs w:val="0"/>
                <w:color w:val="auto"/>
                <w:kern w:val="0"/>
                <w:sz w:val="21"/>
                <w:szCs w:val="21"/>
                <w:u w:val="none"/>
                <w:lang w:val="en-US" w:eastAsia="zh-CN" w:bidi="ar"/>
              </w:rPr>
              <w:t>2020年8月</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2831EC">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24年毕业生</w:t>
            </w:r>
          </w:p>
        </w:tc>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CAD3DE">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0.50</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6BD0EF">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0.50</w:t>
            </w:r>
          </w:p>
        </w:tc>
        <w:tc>
          <w:tcPr>
            <w:tcW w:w="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717FDC">
            <w:pPr>
              <w:keepNext w:val="0"/>
              <w:keepLines w:val="0"/>
              <w:widowControl/>
              <w:suppressLineNumbers w:val="0"/>
              <w:spacing w:line="240" w:lineRule="auto"/>
              <w:ind w:firstLine="0" w:firstLineChars="0"/>
              <w:jc w:val="lef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0.31万-0.55万元/生·年</w:t>
            </w:r>
          </w:p>
        </w:tc>
      </w:tr>
      <w:tr w14:paraId="6E29F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283" w:hRule="atLeast"/>
          <w:jc w:val="center"/>
        </w:trPr>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F218D3">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15</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E6F44B">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阿斯娅</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065D98">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女</w:t>
            </w: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5E4C28">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回</w:t>
            </w:r>
          </w:p>
        </w:tc>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41FA6D">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25</w:t>
            </w:r>
          </w:p>
        </w:tc>
        <w:tc>
          <w:tcPr>
            <w:tcW w:w="10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BC3AD2">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乌鲁木齐职业大学</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2B3527">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大专</w:t>
            </w:r>
          </w:p>
        </w:tc>
        <w:tc>
          <w:tcPr>
            <w:tcW w:w="5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B7F32F">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val="en-US" w:bidi="ar"/>
              </w:rPr>
            </w:pPr>
            <w:r>
              <w:rPr>
                <w:rFonts w:hint="default" w:ascii="Times New Roman" w:hAnsi="Times New Roman" w:eastAsia="宋体" w:cs="Times New Roman"/>
                <w:i w:val="0"/>
                <w:iCs w:val="0"/>
                <w:color w:val="auto"/>
                <w:kern w:val="0"/>
                <w:sz w:val="21"/>
                <w:szCs w:val="21"/>
                <w:u w:val="none"/>
                <w:lang w:val="en-US" w:eastAsia="zh-CN" w:bidi="ar"/>
              </w:rPr>
              <w:t>2019年9月</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30F319">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24年毕业生</w:t>
            </w:r>
          </w:p>
        </w:tc>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563267">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0.50</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5878FD">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0.50</w:t>
            </w:r>
          </w:p>
        </w:tc>
        <w:tc>
          <w:tcPr>
            <w:tcW w:w="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E258F9">
            <w:pPr>
              <w:keepNext w:val="0"/>
              <w:keepLines w:val="0"/>
              <w:widowControl/>
              <w:suppressLineNumbers w:val="0"/>
              <w:spacing w:line="240" w:lineRule="auto"/>
              <w:ind w:firstLine="0" w:firstLineChars="0"/>
              <w:jc w:val="lef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0.29万-0.55万元</w:t>
            </w:r>
            <w:r>
              <w:rPr>
                <w:rFonts w:hint="eastAsia" w:eastAsia="宋体" w:cs="Times New Roman"/>
                <w:i w:val="0"/>
                <w:iCs w:val="0"/>
                <w:color w:val="auto"/>
                <w:kern w:val="0"/>
                <w:sz w:val="21"/>
                <w:szCs w:val="21"/>
                <w:u w:val="none"/>
                <w:lang w:val="en-US" w:eastAsia="zh-CN" w:bidi="ar"/>
              </w:rPr>
              <w:t>/</w:t>
            </w:r>
            <w:r>
              <w:rPr>
                <w:rFonts w:hint="default" w:ascii="Times New Roman" w:hAnsi="Times New Roman" w:eastAsia="宋体" w:cs="Times New Roman"/>
                <w:i w:val="0"/>
                <w:iCs w:val="0"/>
                <w:color w:val="auto"/>
                <w:kern w:val="0"/>
                <w:sz w:val="21"/>
                <w:szCs w:val="21"/>
                <w:u w:val="none"/>
                <w:lang w:val="en-US" w:eastAsia="zh-CN" w:bidi="ar"/>
              </w:rPr>
              <w:t>·年</w:t>
            </w:r>
          </w:p>
        </w:tc>
      </w:tr>
      <w:tr w14:paraId="216A85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283" w:hRule="atLeast"/>
          <w:jc w:val="center"/>
        </w:trPr>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B41577">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16</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A520F7">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沙木哈尔·巴克提长地</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5D9BED">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男</w:t>
            </w: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E24435">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维</w:t>
            </w:r>
          </w:p>
        </w:tc>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BE7343">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23</w:t>
            </w:r>
          </w:p>
        </w:tc>
        <w:tc>
          <w:tcPr>
            <w:tcW w:w="10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2E6CA5">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新疆维吾尔医学专科学校</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1F8B10">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大专</w:t>
            </w:r>
          </w:p>
        </w:tc>
        <w:tc>
          <w:tcPr>
            <w:tcW w:w="5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2648D9">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val="en-US" w:bidi="ar"/>
              </w:rPr>
            </w:pPr>
            <w:r>
              <w:rPr>
                <w:rFonts w:hint="default" w:ascii="Times New Roman" w:hAnsi="Times New Roman" w:eastAsia="宋体" w:cs="Times New Roman"/>
                <w:i w:val="0"/>
                <w:iCs w:val="0"/>
                <w:color w:val="auto"/>
                <w:kern w:val="0"/>
                <w:sz w:val="21"/>
                <w:szCs w:val="21"/>
                <w:u w:val="none"/>
                <w:lang w:val="en-US" w:eastAsia="zh-CN" w:bidi="ar"/>
              </w:rPr>
              <w:t>2020年10月</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28D7B1">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24年毕业生</w:t>
            </w:r>
          </w:p>
        </w:tc>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527969">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0.50</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4F52A8">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0.50</w:t>
            </w:r>
          </w:p>
        </w:tc>
        <w:tc>
          <w:tcPr>
            <w:tcW w:w="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0B08CA">
            <w:pPr>
              <w:keepNext w:val="0"/>
              <w:keepLines w:val="0"/>
              <w:widowControl/>
              <w:suppressLineNumbers w:val="0"/>
              <w:spacing w:line="240" w:lineRule="auto"/>
              <w:ind w:firstLine="0" w:firstLineChars="0"/>
              <w:jc w:val="lef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0.36万元/生·年</w:t>
            </w:r>
          </w:p>
        </w:tc>
      </w:tr>
      <w:tr w14:paraId="6759C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283" w:hRule="atLeast"/>
          <w:jc w:val="center"/>
        </w:trPr>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7C7F30">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17</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1CD27D">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海热提·努尔</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AD5964">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男</w:t>
            </w: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0F0D88">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维</w:t>
            </w:r>
          </w:p>
        </w:tc>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1AA2F6">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23</w:t>
            </w:r>
          </w:p>
        </w:tc>
        <w:tc>
          <w:tcPr>
            <w:tcW w:w="10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C90791">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石河子工程机械学院</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4F80B1">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大专</w:t>
            </w:r>
          </w:p>
        </w:tc>
        <w:tc>
          <w:tcPr>
            <w:tcW w:w="5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F40D88">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val="en-US" w:bidi="ar"/>
              </w:rPr>
            </w:pPr>
            <w:r>
              <w:rPr>
                <w:rFonts w:hint="default" w:ascii="Times New Roman" w:hAnsi="Times New Roman" w:eastAsia="宋体" w:cs="Times New Roman"/>
                <w:i w:val="0"/>
                <w:iCs w:val="0"/>
                <w:color w:val="auto"/>
                <w:kern w:val="0"/>
                <w:sz w:val="21"/>
                <w:szCs w:val="21"/>
                <w:u w:val="none"/>
                <w:lang w:val="en-US" w:eastAsia="zh-CN" w:bidi="ar"/>
              </w:rPr>
              <w:t>2021年9月</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F44C59">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24年毕业生</w:t>
            </w:r>
          </w:p>
        </w:tc>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DCEFB6">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0.50</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0DD126">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0.50</w:t>
            </w:r>
          </w:p>
        </w:tc>
        <w:tc>
          <w:tcPr>
            <w:tcW w:w="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D6D56A">
            <w:pPr>
              <w:keepNext w:val="0"/>
              <w:keepLines w:val="0"/>
              <w:widowControl/>
              <w:suppressLineNumbers w:val="0"/>
              <w:spacing w:line="240" w:lineRule="auto"/>
              <w:ind w:firstLine="0" w:firstLineChars="0"/>
              <w:jc w:val="lef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0.33万-0.78万元/生·年</w:t>
            </w:r>
          </w:p>
        </w:tc>
      </w:tr>
      <w:tr w14:paraId="04C441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283" w:hRule="atLeast"/>
          <w:jc w:val="center"/>
        </w:trPr>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4ACF5B">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18</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615821">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玛合萨特·吐热安</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5107F8">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男</w:t>
            </w: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1356E4">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哈</w:t>
            </w:r>
          </w:p>
        </w:tc>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70E2DD">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25</w:t>
            </w:r>
          </w:p>
        </w:tc>
        <w:tc>
          <w:tcPr>
            <w:tcW w:w="10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3A03D8">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新疆交通职业技术学院</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3A5AB8">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大专</w:t>
            </w:r>
          </w:p>
        </w:tc>
        <w:tc>
          <w:tcPr>
            <w:tcW w:w="5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73F6BA">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2021年9月</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991456">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24年毕业生</w:t>
            </w:r>
          </w:p>
        </w:tc>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5C54CB">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0.50</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F2107D">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0.50</w:t>
            </w:r>
          </w:p>
        </w:tc>
        <w:tc>
          <w:tcPr>
            <w:tcW w:w="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D35B75">
            <w:pPr>
              <w:keepNext w:val="0"/>
              <w:keepLines w:val="0"/>
              <w:widowControl/>
              <w:suppressLineNumbers w:val="0"/>
              <w:spacing w:line="240" w:lineRule="auto"/>
              <w:ind w:firstLine="0" w:firstLineChars="0"/>
              <w:jc w:val="lef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0.33万-0.78万元/生·年</w:t>
            </w:r>
          </w:p>
        </w:tc>
      </w:tr>
      <w:tr w14:paraId="1F40BC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283" w:hRule="atLeast"/>
          <w:jc w:val="center"/>
        </w:trPr>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6F5D79">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19</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E5696E">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迪丽拜尔·卡那阿提</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609255">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女</w:t>
            </w: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A2B1CF">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哈</w:t>
            </w:r>
          </w:p>
        </w:tc>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CED60B">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22</w:t>
            </w:r>
          </w:p>
        </w:tc>
        <w:tc>
          <w:tcPr>
            <w:tcW w:w="10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9B0198">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新疆科信学院</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69894A">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大专</w:t>
            </w:r>
          </w:p>
        </w:tc>
        <w:tc>
          <w:tcPr>
            <w:tcW w:w="5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78A06F">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2021年9月</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87EC04">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24年毕业生</w:t>
            </w:r>
          </w:p>
        </w:tc>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E01C14">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0.50</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EE06DD">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0.50</w:t>
            </w:r>
          </w:p>
        </w:tc>
        <w:tc>
          <w:tcPr>
            <w:tcW w:w="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F3953D">
            <w:pPr>
              <w:keepNext w:val="0"/>
              <w:keepLines w:val="0"/>
              <w:widowControl/>
              <w:suppressLineNumbers w:val="0"/>
              <w:spacing w:line="240" w:lineRule="auto"/>
              <w:ind w:firstLine="0" w:firstLineChars="0"/>
              <w:jc w:val="lef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0.65万-0.80万元/生·年</w:t>
            </w:r>
          </w:p>
        </w:tc>
      </w:tr>
      <w:tr w14:paraId="75C07A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283" w:hRule="atLeast"/>
          <w:jc w:val="center"/>
        </w:trPr>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C9326C">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7F8B90">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阿尔西尼·吾力加别克</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8FE353">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男</w:t>
            </w: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A101EF">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哈</w:t>
            </w:r>
          </w:p>
        </w:tc>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57D93E">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23</w:t>
            </w:r>
          </w:p>
        </w:tc>
        <w:tc>
          <w:tcPr>
            <w:tcW w:w="10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37A6F5">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新疆铁道职业技术学院</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7AD7D9">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大专</w:t>
            </w:r>
          </w:p>
        </w:tc>
        <w:tc>
          <w:tcPr>
            <w:tcW w:w="5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552E9F">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val="en-US" w:bidi="ar"/>
              </w:rPr>
            </w:pPr>
            <w:r>
              <w:rPr>
                <w:rFonts w:hint="default" w:ascii="Times New Roman" w:hAnsi="Times New Roman" w:eastAsia="宋体" w:cs="Times New Roman"/>
                <w:i w:val="0"/>
                <w:iCs w:val="0"/>
                <w:color w:val="auto"/>
                <w:kern w:val="0"/>
                <w:sz w:val="21"/>
                <w:szCs w:val="21"/>
                <w:u w:val="none"/>
                <w:lang w:val="en-US" w:eastAsia="zh-CN" w:bidi="ar"/>
              </w:rPr>
              <w:t>2020年10月</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BD3159">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24年毕业生</w:t>
            </w:r>
          </w:p>
        </w:tc>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8D74D4">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0.50</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0D169D">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0.50</w:t>
            </w:r>
          </w:p>
        </w:tc>
        <w:tc>
          <w:tcPr>
            <w:tcW w:w="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FCFCD1">
            <w:pPr>
              <w:keepNext w:val="0"/>
              <w:keepLines w:val="0"/>
              <w:widowControl/>
              <w:suppressLineNumbers w:val="0"/>
              <w:spacing w:line="240" w:lineRule="auto"/>
              <w:ind w:firstLine="0" w:firstLineChars="0"/>
              <w:jc w:val="lef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0.33万-0.78万元/生·年</w:t>
            </w:r>
          </w:p>
        </w:tc>
      </w:tr>
      <w:tr w14:paraId="74C085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283" w:hRule="atLeast"/>
          <w:jc w:val="center"/>
        </w:trPr>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AE60F2">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21</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AA94A6">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杨烁</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CD2D9A">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男</w:t>
            </w: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210B2B">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回</w:t>
            </w:r>
          </w:p>
        </w:tc>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885D5C">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w:t>
            </w:r>
          </w:p>
        </w:tc>
        <w:tc>
          <w:tcPr>
            <w:tcW w:w="10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3BBDFA">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吉林农业大学</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341206">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本科</w:t>
            </w:r>
          </w:p>
        </w:tc>
        <w:tc>
          <w:tcPr>
            <w:tcW w:w="5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52357A">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val="en-US" w:bidi="ar"/>
              </w:rPr>
            </w:pPr>
            <w:r>
              <w:rPr>
                <w:rFonts w:hint="default" w:ascii="Times New Roman" w:hAnsi="Times New Roman" w:eastAsia="宋体" w:cs="Times New Roman"/>
                <w:i w:val="0"/>
                <w:iCs w:val="0"/>
                <w:color w:val="auto"/>
                <w:kern w:val="0"/>
                <w:sz w:val="21"/>
                <w:szCs w:val="21"/>
                <w:u w:val="none"/>
                <w:lang w:val="en-US" w:eastAsia="zh-CN" w:bidi="ar"/>
              </w:rPr>
              <w:t>2024年9月</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6F20F6">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新生</w:t>
            </w:r>
          </w:p>
        </w:tc>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7461D9">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0.50</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EB60FE">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0.50</w:t>
            </w:r>
          </w:p>
        </w:tc>
        <w:tc>
          <w:tcPr>
            <w:tcW w:w="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2DE8B2">
            <w:pPr>
              <w:keepNext w:val="0"/>
              <w:keepLines w:val="0"/>
              <w:widowControl/>
              <w:suppressLineNumbers w:val="0"/>
              <w:spacing w:line="240" w:lineRule="auto"/>
              <w:ind w:firstLine="0" w:firstLineChars="0"/>
              <w:jc w:val="lef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0.38万-0.68万元</w:t>
            </w:r>
            <w:r>
              <w:rPr>
                <w:rFonts w:hint="eastAsia" w:eastAsia="宋体" w:cs="Times New Roman"/>
                <w:i w:val="0"/>
                <w:iCs w:val="0"/>
                <w:color w:val="auto"/>
                <w:kern w:val="0"/>
                <w:sz w:val="21"/>
                <w:szCs w:val="21"/>
                <w:u w:val="none"/>
                <w:lang w:val="en-US" w:eastAsia="zh-CN" w:bidi="ar"/>
              </w:rPr>
              <w:t>/</w:t>
            </w:r>
            <w:r>
              <w:rPr>
                <w:rFonts w:hint="default" w:ascii="Times New Roman" w:hAnsi="Times New Roman" w:eastAsia="宋体" w:cs="Times New Roman"/>
                <w:i w:val="0"/>
                <w:iCs w:val="0"/>
                <w:color w:val="auto"/>
                <w:kern w:val="0"/>
                <w:sz w:val="21"/>
                <w:szCs w:val="21"/>
                <w:u w:val="none"/>
                <w:lang w:val="en-US" w:eastAsia="zh-CN" w:bidi="ar"/>
              </w:rPr>
              <w:t>·年</w:t>
            </w:r>
          </w:p>
        </w:tc>
      </w:tr>
      <w:tr w14:paraId="30123C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283" w:hRule="atLeast"/>
          <w:jc w:val="center"/>
        </w:trPr>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0F9AFA">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22</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1CDEC3">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麦迪乃·麦艾麦提江</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956CDB">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女</w:t>
            </w: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42C8AE">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维</w:t>
            </w:r>
          </w:p>
        </w:tc>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F49F07">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w:t>
            </w:r>
          </w:p>
        </w:tc>
        <w:tc>
          <w:tcPr>
            <w:tcW w:w="10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06C0CB">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广东省外语艺术职业学院</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840078">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大专</w:t>
            </w:r>
          </w:p>
        </w:tc>
        <w:tc>
          <w:tcPr>
            <w:tcW w:w="5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A8D242">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2024年9月</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B4371F">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新生</w:t>
            </w:r>
          </w:p>
        </w:tc>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2F8127">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0.50</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945DB3">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0.50</w:t>
            </w:r>
          </w:p>
        </w:tc>
        <w:tc>
          <w:tcPr>
            <w:tcW w:w="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4D2C9A">
            <w:pPr>
              <w:keepNext w:val="0"/>
              <w:keepLines w:val="0"/>
              <w:widowControl/>
              <w:suppressLineNumbers w:val="0"/>
              <w:spacing w:line="240" w:lineRule="auto"/>
              <w:ind w:firstLine="0" w:firstLineChars="0"/>
              <w:jc w:val="lef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0.50万-1.00万元/生·年</w:t>
            </w:r>
          </w:p>
        </w:tc>
      </w:tr>
      <w:tr w14:paraId="58B412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283" w:hRule="atLeast"/>
          <w:jc w:val="center"/>
        </w:trPr>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29EEA8">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23</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32D6BB">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达尼亚尔·阿布迪克力木</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3A1E65">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男</w:t>
            </w: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F27DC8">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维</w:t>
            </w:r>
          </w:p>
        </w:tc>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EA5316">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19</w:t>
            </w:r>
          </w:p>
        </w:tc>
        <w:tc>
          <w:tcPr>
            <w:tcW w:w="10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5DF68F">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新疆交通职业技术学院</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97AD7A">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大专</w:t>
            </w:r>
          </w:p>
        </w:tc>
        <w:tc>
          <w:tcPr>
            <w:tcW w:w="5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361448">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2024年9月</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98832B">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新生</w:t>
            </w:r>
          </w:p>
        </w:tc>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B722D9">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0.50</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362EE2">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0.50</w:t>
            </w:r>
          </w:p>
        </w:tc>
        <w:tc>
          <w:tcPr>
            <w:tcW w:w="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346747">
            <w:pPr>
              <w:keepNext w:val="0"/>
              <w:keepLines w:val="0"/>
              <w:widowControl/>
              <w:suppressLineNumbers w:val="0"/>
              <w:spacing w:line="240" w:lineRule="auto"/>
              <w:ind w:firstLine="0" w:firstLineChars="0"/>
              <w:jc w:val="lef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0.33万-0.78万元/生·年</w:t>
            </w:r>
          </w:p>
        </w:tc>
      </w:tr>
      <w:tr w14:paraId="4B1316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602" w:hRule="atLeast"/>
          <w:jc w:val="center"/>
        </w:trPr>
        <w:tc>
          <w:tcPr>
            <w:tcW w:w="1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7AE77F">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24</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20CFC5">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阿迪兰·吐尔干</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190566">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女</w:t>
            </w: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5F8D42">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维</w:t>
            </w:r>
          </w:p>
        </w:tc>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35CD22">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18</w:t>
            </w:r>
          </w:p>
        </w:tc>
        <w:tc>
          <w:tcPr>
            <w:tcW w:w="10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9B3426">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新疆应用职业技术学校</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51237B">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大专</w:t>
            </w:r>
          </w:p>
        </w:tc>
        <w:tc>
          <w:tcPr>
            <w:tcW w:w="5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6D3B01">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2024年9月</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DD322F">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新生</w:t>
            </w:r>
          </w:p>
        </w:tc>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BB00DE">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0.50</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DAE3AE">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0.50</w:t>
            </w:r>
          </w:p>
        </w:tc>
        <w:tc>
          <w:tcPr>
            <w:tcW w:w="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ED8372">
            <w:pPr>
              <w:keepNext w:val="0"/>
              <w:keepLines w:val="0"/>
              <w:widowControl/>
              <w:suppressLineNumbers w:val="0"/>
              <w:spacing w:line="240" w:lineRule="auto"/>
              <w:ind w:firstLine="0" w:firstLineChars="0"/>
              <w:jc w:val="lef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0.33万-0.78万元/生·年</w:t>
            </w:r>
          </w:p>
        </w:tc>
      </w:tr>
      <w:tr w14:paraId="29364E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391" w:hRule="atLeast"/>
          <w:jc w:val="center"/>
        </w:trPr>
        <w:tc>
          <w:tcPr>
            <w:tcW w:w="3710"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43AB1B39">
            <w:pPr>
              <w:keepNext w:val="0"/>
              <w:keepLines w:val="0"/>
              <w:widowControl/>
              <w:suppressLineNumbers w:val="0"/>
              <w:tabs>
                <w:tab w:val="left" w:pos="6729"/>
              </w:tabs>
              <w:spacing w:line="240" w:lineRule="auto"/>
              <w:ind w:firstLine="0" w:firstLineChars="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合并</w:t>
            </w:r>
          </w:p>
        </w:tc>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476140">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eastAsia" w:eastAsia="宋体" w:cs="Times New Roman"/>
                <w:i w:val="0"/>
                <w:iCs w:val="0"/>
                <w:color w:val="auto"/>
                <w:kern w:val="0"/>
                <w:sz w:val="21"/>
                <w:szCs w:val="21"/>
                <w:u w:val="none"/>
                <w:lang w:val="en-US" w:eastAsia="zh-CN" w:bidi="ar"/>
              </w:rPr>
              <w:t>18.00</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5B2A7F">
            <w:pPr>
              <w:keepNext w:val="0"/>
              <w:keepLines w:val="0"/>
              <w:widowControl/>
              <w:suppressLineNumbers w:val="0"/>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eastAsia" w:eastAsia="宋体" w:cs="Times New Roman"/>
                <w:i w:val="0"/>
                <w:iCs w:val="0"/>
                <w:color w:val="auto"/>
                <w:kern w:val="0"/>
                <w:sz w:val="21"/>
                <w:szCs w:val="21"/>
                <w:u w:val="none"/>
                <w:lang w:val="en-US" w:eastAsia="zh-CN" w:bidi="ar"/>
              </w:rPr>
              <w:t>18.00</w:t>
            </w:r>
          </w:p>
        </w:tc>
        <w:tc>
          <w:tcPr>
            <w:tcW w:w="8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AF4C40">
            <w:pPr>
              <w:keepNext w:val="0"/>
              <w:keepLines w:val="0"/>
              <w:widowControl/>
              <w:suppressLineNumbers w:val="0"/>
              <w:spacing w:line="240" w:lineRule="auto"/>
              <w:ind w:firstLine="0" w:firstLineChars="0"/>
              <w:jc w:val="left"/>
              <w:textAlignment w:val="center"/>
              <w:rPr>
                <w:rFonts w:hint="default" w:ascii="Times New Roman" w:hAnsi="Times New Roman" w:eastAsia="宋体" w:cs="Times New Roman"/>
                <w:i w:val="0"/>
                <w:iCs w:val="0"/>
                <w:color w:val="auto"/>
                <w:kern w:val="0"/>
                <w:sz w:val="21"/>
                <w:szCs w:val="21"/>
                <w:u w:val="none"/>
                <w:lang w:val="en-US" w:eastAsia="zh-CN" w:bidi="ar"/>
              </w:rPr>
            </w:pPr>
          </w:p>
        </w:tc>
      </w:tr>
    </w:tbl>
    <w:p w14:paraId="3F8056F7">
      <w:pPr>
        <w:pageBreakBefore w:val="0"/>
        <w:kinsoku/>
        <w:wordWrap/>
        <w:overflowPunct/>
        <w:topLinePunct w:val="0"/>
        <w:autoSpaceDE/>
        <w:autoSpaceDN/>
        <w:bidi w:val="0"/>
        <w:snapToGrid w:val="0"/>
        <w:spacing w:line="360" w:lineRule="auto"/>
        <w:ind w:firstLine="420"/>
        <w:rPr>
          <w:rFonts w:ascii="Times New Roman" w:hAnsi="Times New Roman" w:cs="Times New Roman"/>
          <w:color w:val="auto"/>
        </w:rPr>
      </w:pPr>
      <w:r>
        <w:rPr>
          <w:rFonts w:ascii="Times New Roman" w:hAnsi="Times New Roman" w:cs="Times New Roman"/>
          <w:color w:val="auto"/>
        </w:rPr>
        <w:br w:type="page"/>
      </w:r>
    </w:p>
    <w:p w14:paraId="78E6AB8B">
      <w:pPr>
        <w:pStyle w:val="4"/>
        <w:pageBreakBefore w:val="0"/>
        <w:kinsoku/>
        <w:wordWrap/>
        <w:overflowPunct/>
        <w:topLinePunct w:val="0"/>
        <w:autoSpaceDE/>
        <w:autoSpaceDN/>
        <w:bidi w:val="0"/>
        <w:snapToGrid w:val="0"/>
        <w:spacing w:line="360" w:lineRule="auto"/>
        <w:ind w:firstLine="0" w:firstLineChars="0"/>
        <w:rPr>
          <w:rFonts w:ascii="Times New Roman" w:hAnsi="Times New Roman" w:cs="Times New Roman"/>
          <w:color w:val="auto"/>
        </w:rPr>
        <w:sectPr>
          <w:footerReference r:id="rId18" w:type="default"/>
          <w:type w:val="continuous"/>
          <w:pgSz w:w="16838" w:h="11906" w:orient="landscape"/>
          <w:pgMar w:top="1800" w:right="1440" w:bottom="1800" w:left="1440" w:header="851" w:footer="907" w:gutter="0"/>
          <w:pgBorders>
            <w:top w:val="none" w:sz="0" w:space="0"/>
            <w:left w:val="none" w:sz="0" w:space="0"/>
            <w:bottom w:val="none" w:sz="0" w:space="0"/>
            <w:right w:val="none" w:sz="0" w:space="0"/>
          </w:pgBorders>
          <w:pgNumType w:fmt="decimal"/>
          <w:cols w:space="425" w:num="1"/>
          <w:rtlGutter w:val="0"/>
          <w:docGrid w:type="lines" w:linePitch="312" w:charSpace="0"/>
        </w:sectPr>
      </w:pPr>
      <w:bookmarkStart w:id="101" w:name="_Toc29169"/>
    </w:p>
    <w:p w14:paraId="790E37B0">
      <w:pPr>
        <w:pStyle w:val="6"/>
        <w:pageBreakBefore w:val="0"/>
        <w:kinsoku/>
        <w:wordWrap/>
        <w:overflowPunct/>
        <w:topLinePunct w:val="0"/>
        <w:autoSpaceDE/>
        <w:autoSpaceDN/>
        <w:bidi w:val="0"/>
        <w:snapToGrid w:val="0"/>
        <w:spacing w:line="240" w:lineRule="auto"/>
        <w:ind w:firstLineChars="0"/>
        <w:jc w:val="center"/>
        <w:outlineLvl w:val="2"/>
        <w:rPr>
          <w:rFonts w:hint="default" w:ascii="Times New Roman" w:hAnsi="Times New Roman" w:eastAsia="宋体" w:cs="Times New Roman"/>
          <w:color w:val="auto"/>
          <w:sz w:val="24"/>
          <w:szCs w:val="24"/>
          <w:highlight w:val="none"/>
          <w:u w:val="none"/>
          <w:lang w:bidi="ar"/>
        </w:rPr>
      </w:pPr>
      <w:r>
        <w:rPr>
          <w:rFonts w:hint="eastAsia" w:ascii="Times New Roman" w:hAnsi="Times New Roman" w:eastAsia="宋体" w:cs="Times New Roman"/>
          <w:color w:val="auto"/>
          <w:sz w:val="24"/>
          <w:szCs w:val="24"/>
          <w:highlight w:val="none"/>
          <w:u w:val="none"/>
          <w:lang w:val="en-US" w:eastAsia="zh-CN" w:bidi="ar"/>
        </w:rPr>
        <w:t>基础表2：</w:t>
      </w:r>
      <w:r>
        <w:rPr>
          <w:rFonts w:hint="default" w:ascii="Times New Roman" w:hAnsi="Times New Roman" w:eastAsia="宋体" w:cs="Times New Roman"/>
          <w:color w:val="auto"/>
          <w:sz w:val="24"/>
          <w:szCs w:val="24"/>
          <w:highlight w:val="none"/>
          <w:u w:val="none"/>
          <w:lang w:bidi="ar"/>
        </w:rPr>
        <w:t>伊宁县“福彩圆梦 孤儿助学工程”资金发放明细表</w:t>
      </w:r>
    </w:p>
    <w:p w14:paraId="418FF37B">
      <w:pPr>
        <w:pStyle w:val="6"/>
        <w:spacing w:line="240" w:lineRule="auto"/>
        <w:ind w:firstLineChars="0"/>
        <w:jc w:val="right"/>
        <w:outlineLvl w:val="2"/>
        <w:rPr>
          <w:rFonts w:hint="default" w:ascii="Times New Roman" w:hAnsi="Times New Roman" w:eastAsia="宋体"/>
          <w:color w:val="auto"/>
          <w:sz w:val="24"/>
          <w:szCs w:val="24"/>
          <w:highlight w:val="none"/>
          <w:u w:val="none"/>
          <w:lang w:bidi="ar"/>
        </w:rPr>
      </w:pPr>
      <w:r>
        <w:rPr>
          <w:rFonts w:hint="default" w:ascii="Times New Roman" w:hAnsi="Times New Roman" w:eastAsia="宋体"/>
          <w:color w:val="auto"/>
          <w:sz w:val="24"/>
          <w:szCs w:val="24"/>
          <w:highlight w:val="none"/>
          <w:u w:val="none"/>
          <w:lang w:bidi="ar"/>
        </w:rPr>
        <w:t>单位：万元</w:t>
      </w:r>
    </w:p>
    <w:tbl>
      <w:tblPr>
        <w:tblStyle w:val="1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85"/>
        <w:gridCol w:w="1577"/>
        <w:gridCol w:w="1345"/>
        <w:gridCol w:w="778"/>
        <w:gridCol w:w="1166"/>
        <w:gridCol w:w="889"/>
        <w:gridCol w:w="733"/>
        <w:gridCol w:w="1045"/>
        <w:gridCol w:w="889"/>
        <w:gridCol w:w="678"/>
        <w:gridCol w:w="1044"/>
        <w:gridCol w:w="856"/>
        <w:gridCol w:w="744"/>
        <w:gridCol w:w="1044"/>
        <w:gridCol w:w="901"/>
      </w:tblGrid>
      <w:tr w14:paraId="285AFA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blHeader/>
        </w:trPr>
        <w:tc>
          <w:tcPr>
            <w:tcW w:w="17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01963">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55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4207C">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姓名</w:t>
            </w:r>
          </w:p>
        </w:tc>
        <w:tc>
          <w:tcPr>
            <w:tcW w:w="47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1E439">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eastAsia="宋体" w:cs="宋体"/>
                <w:b/>
                <w:bCs/>
                <w:i w:val="0"/>
                <w:iCs w:val="0"/>
                <w:color w:val="000000"/>
                <w:sz w:val="21"/>
                <w:szCs w:val="21"/>
                <w:u w:val="none"/>
                <w:lang w:val="en-US" w:eastAsia="zh-CN"/>
              </w:rPr>
              <w:t>学籍</w:t>
            </w:r>
          </w:p>
        </w:tc>
        <w:tc>
          <w:tcPr>
            <w:tcW w:w="99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2FEE0">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第一季度</w:t>
            </w:r>
          </w:p>
        </w:tc>
        <w:tc>
          <w:tcPr>
            <w:tcW w:w="94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D57E5">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第二季度</w:t>
            </w:r>
          </w:p>
        </w:tc>
        <w:tc>
          <w:tcPr>
            <w:tcW w:w="90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399E0">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第三季度</w:t>
            </w:r>
          </w:p>
        </w:tc>
        <w:tc>
          <w:tcPr>
            <w:tcW w:w="94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71459">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第四季度</w:t>
            </w:r>
          </w:p>
        </w:tc>
      </w:tr>
      <w:tr w14:paraId="328A4E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5" w:hRule="atLeast"/>
          <w:tblHeader/>
        </w:trPr>
        <w:tc>
          <w:tcPr>
            <w:tcW w:w="17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C982A">
            <w:pPr>
              <w:spacing w:line="240" w:lineRule="auto"/>
              <w:jc w:val="center"/>
              <w:rPr>
                <w:rFonts w:hint="eastAsia" w:ascii="宋体" w:hAnsi="宋体" w:eastAsia="宋体" w:cs="宋体"/>
                <w:b/>
                <w:bCs/>
                <w:i w:val="0"/>
                <w:iCs w:val="0"/>
                <w:color w:val="000000"/>
                <w:sz w:val="21"/>
                <w:szCs w:val="21"/>
                <w:u w:val="none"/>
              </w:rPr>
            </w:pPr>
          </w:p>
        </w:tc>
        <w:tc>
          <w:tcPr>
            <w:tcW w:w="55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50824">
            <w:pPr>
              <w:spacing w:line="240" w:lineRule="auto"/>
              <w:jc w:val="center"/>
              <w:rPr>
                <w:rFonts w:hint="eastAsia" w:ascii="宋体" w:hAnsi="宋体" w:eastAsia="宋体" w:cs="宋体"/>
                <w:b/>
                <w:bCs/>
                <w:i w:val="0"/>
                <w:iCs w:val="0"/>
                <w:color w:val="000000"/>
                <w:sz w:val="21"/>
                <w:szCs w:val="21"/>
                <w:u w:val="none"/>
              </w:rPr>
            </w:pPr>
          </w:p>
        </w:tc>
        <w:tc>
          <w:tcPr>
            <w:tcW w:w="4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F137E">
            <w:pPr>
              <w:spacing w:line="240" w:lineRule="auto"/>
              <w:jc w:val="center"/>
              <w:rPr>
                <w:rFonts w:hint="eastAsia" w:ascii="宋体" w:hAnsi="宋体" w:eastAsia="宋体" w:cs="宋体"/>
                <w:b/>
                <w:bCs/>
                <w:i w:val="0"/>
                <w:iCs w:val="0"/>
                <w:color w:val="000000"/>
                <w:sz w:val="21"/>
                <w:szCs w:val="21"/>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037E23">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应发金额</w:t>
            </w:r>
          </w:p>
        </w:tc>
        <w:tc>
          <w:tcPr>
            <w:tcW w:w="4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CCE5DF">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实际发放时间</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86C82D">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实际发放金额</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89F21A">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应发金额</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857BE1">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实际发放时间</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E43540">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实际发放金额</w:t>
            </w:r>
          </w:p>
        </w:tc>
        <w:tc>
          <w:tcPr>
            <w:tcW w:w="2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513804">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应发金额</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52B73B">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实际发放时间</w:t>
            </w:r>
          </w:p>
        </w:tc>
        <w:tc>
          <w:tcPr>
            <w:tcW w:w="3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FD154A">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实际发放金额</w:t>
            </w:r>
          </w:p>
        </w:tc>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BFB849">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应发金额</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4484CB">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实际发放时间</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B47F47">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实际发放金额</w:t>
            </w:r>
          </w:p>
        </w:tc>
      </w:tr>
      <w:tr w14:paraId="559C6E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8E030">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1</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D1A869">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娜迪热·卡山</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649953">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顺延学位</w:t>
            </w:r>
          </w:p>
        </w:tc>
        <w:tc>
          <w:tcPr>
            <w:tcW w:w="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461A5">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2F484">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2024年5月22日</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504E7">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A4750">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51C61">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2024年7月3日</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76763">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FF7FD">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BA23B">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2024年9月20日</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FF4DF">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4DB73">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F5B2F">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2024年12月9日</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E3206">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r>
      <w:tr w14:paraId="1E374C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6AD98">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9B2901">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马利德</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D4543C">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顺延学位</w:t>
            </w:r>
          </w:p>
        </w:tc>
        <w:tc>
          <w:tcPr>
            <w:tcW w:w="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930CF">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52DB9">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2024年5月22日</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2B221">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7D082">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CD299">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2024年7月3日</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03BE7">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E54EB">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A694F">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2024年9月20日</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B76C1">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278ED">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893C0">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2024年12月9日</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30FCA">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r>
      <w:tr w14:paraId="10A4A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7D25B">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3</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A1A446">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李爽</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D46598">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顺延学位</w:t>
            </w:r>
          </w:p>
        </w:tc>
        <w:tc>
          <w:tcPr>
            <w:tcW w:w="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7DFE8">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69D9C">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2024年5月22日</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0E740">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6BBDE">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96658">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2024年7月3日</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E20B7">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E9108">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1E677">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2024年9月20日</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6044E">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7BC14">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5592B">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2024年12月9日</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14056">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r>
      <w:tr w14:paraId="0ED826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148EA">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4</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069AB6">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腊文斌</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E425D0">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顺延学位</w:t>
            </w:r>
          </w:p>
        </w:tc>
        <w:tc>
          <w:tcPr>
            <w:tcW w:w="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4EE11">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13CF6">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2024年5月22日</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00144">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85A1D">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F1C6D">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2024年7月3日</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D8B9C">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375A2">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B6A3A">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2024年9月20日</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31E4D">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C8B1A">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C6D7B">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2024年12月9日</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12171">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r>
      <w:tr w14:paraId="24BFCA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BE899">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5</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45638A">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阿克九勒·革命塔依</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3AE76B">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顺延学位</w:t>
            </w:r>
          </w:p>
        </w:tc>
        <w:tc>
          <w:tcPr>
            <w:tcW w:w="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9F7DB">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BC4C9">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2024年5月22日</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C162B">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B27A7">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708F4">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2024年7月3日</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80C4D">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CE3E4">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E3A2E">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2024年9月20日</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EF8B4">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5ECF4">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445DA">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2024年12月9日</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348B4">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r>
      <w:tr w14:paraId="2AC5D2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465C3">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6</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22151A">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阿依库提·艾合买提江</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B93E63">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顺延学位</w:t>
            </w:r>
          </w:p>
        </w:tc>
        <w:tc>
          <w:tcPr>
            <w:tcW w:w="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F06A5">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D87FA">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2024年5月22日</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AEFB1">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F5016">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09280">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2024年7月3日</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E4DDE">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E13B8">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C05E4">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2024年9月20日</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320EC">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26244">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F8360">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2024年12月9日</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25B5E5">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r>
      <w:tr w14:paraId="1A1D0D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25CCC">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7</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0F2164">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迪丽热巴·尼加提</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6B00E9">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顺延学位</w:t>
            </w:r>
          </w:p>
        </w:tc>
        <w:tc>
          <w:tcPr>
            <w:tcW w:w="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3E745">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C6655">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2024年5月22日</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575CA">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7EFD3">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5005A">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2024年7月3日</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04375">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7EFBC">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9C761">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2024年9月20日</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E1427">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8A2F5">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07D5C">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2024年12月9日</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CF281">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r>
      <w:tr w14:paraId="49F6A7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56F4C">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8</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377F5D">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穆妮热·图尔干江</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85E0A8">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顺延学位</w:t>
            </w:r>
          </w:p>
        </w:tc>
        <w:tc>
          <w:tcPr>
            <w:tcW w:w="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3874F">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3D3EC">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2024年5月22日</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F96E5">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EC298">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91D38">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2024年7月3日</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5E8E3">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333E5">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441F5">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2024年9月20日</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E3F94">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B095E">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CCDD2">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2024年12月9日</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38F3E">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r>
      <w:tr w14:paraId="6C4BF9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9E2791">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9</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877FF7">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叶斯哈提·吐热安</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B4C5BC">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顺延学位</w:t>
            </w:r>
          </w:p>
        </w:tc>
        <w:tc>
          <w:tcPr>
            <w:tcW w:w="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01991">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D0019">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2024年5月22日</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92861">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58BC4">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A1355">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2024年7月3日</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A061F">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9F939">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005A1">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2024年9月20日</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860E1">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3575D">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91FDF">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2024年12月9日</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B0596">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r>
      <w:tr w14:paraId="057803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F777B">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10</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3CD01D">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伊力哈木江·阿不都艾尼</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E96EF7">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顺延学位</w:t>
            </w:r>
          </w:p>
        </w:tc>
        <w:tc>
          <w:tcPr>
            <w:tcW w:w="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68484">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CE81E">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2024年5月22日</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A13AA">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34337">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7C7FB">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2024年7月3日</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D7E12">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F3DB6">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3DEA8">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2024年9月20日</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388D7">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34C54">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76E20">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2024年12月9日</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C3621">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r>
      <w:tr w14:paraId="6EB70D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3D05E">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11</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48D4AC">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梅文彬</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FF5DC3">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顺延学位</w:t>
            </w:r>
          </w:p>
        </w:tc>
        <w:tc>
          <w:tcPr>
            <w:tcW w:w="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189E8">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BD1A0">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2024年5月22日</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FE91F">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74313">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7C820">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2024年7月3日</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D6651">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F5555">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72A85">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2024年9月20日</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42F9D">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83081">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64A3D">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2024年12月9日</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BE013">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r>
      <w:tr w14:paraId="097952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90AC9">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12</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56768F">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买克丽亚·库尔万江</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189182">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顺延学位</w:t>
            </w:r>
          </w:p>
        </w:tc>
        <w:tc>
          <w:tcPr>
            <w:tcW w:w="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D7060">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E9221">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2024年5月22日</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CEC3B">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05D45">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33B22">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2024年7月3日</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0A69E">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AF732">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74196">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2024年9月20日</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45BC3">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CACF8">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B0748">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2024年12月9日</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A0E9B">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r>
      <w:tr w14:paraId="06182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2FCAF">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13</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3891DE">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苏尼艳·阿力木江</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3C2094">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顺延学位</w:t>
            </w:r>
          </w:p>
        </w:tc>
        <w:tc>
          <w:tcPr>
            <w:tcW w:w="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5224E">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85083">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2024年5月22日</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E5267">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B9A76">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7447C">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2024年7月3日</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AB667">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6F82A">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0BBA5">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C9EFB">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80756">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8A40B">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0338E">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r>
      <w:tr w14:paraId="23A434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C0BF6">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14</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885240">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阿丽旦·先木西丁</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8D192D">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24年毕业生</w:t>
            </w:r>
          </w:p>
        </w:tc>
        <w:tc>
          <w:tcPr>
            <w:tcW w:w="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F064A">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FFF27">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2024年8月19日</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CC785">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C5580">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96352">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2024年8月19日</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C44F3">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D9AC7">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4629E">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EC428">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86D25">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E6819">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2509B">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r>
      <w:tr w14:paraId="39CBBF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6E7AA">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15</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68E383">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阿斯娅</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2B8EBC">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24年毕业生</w:t>
            </w:r>
          </w:p>
        </w:tc>
        <w:tc>
          <w:tcPr>
            <w:tcW w:w="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11316">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47F93">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2024年8月19日</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99205">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A3F11">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D605A">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2024年8月19日</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8A555">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10011">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18C7E">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A3414">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8F678">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F59CA">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3C862">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r>
      <w:tr w14:paraId="3FD010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024D5">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16</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5A7ECC">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沙木哈尔·巴克提长地</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44C7C4">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24年毕业生</w:t>
            </w:r>
          </w:p>
        </w:tc>
        <w:tc>
          <w:tcPr>
            <w:tcW w:w="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2F8EF">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C5CF8">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2024年8月19日</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A31C3">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9CD11">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A0A69">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2024年8月19日</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6E13C">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8EADF">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7D157">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1B38A">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2882E">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B1495">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9A28D">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r>
      <w:tr w14:paraId="11C144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2BBA7">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17</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9C8FBD">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海热提·努尔</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C460E7">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24年毕业生</w:t>
            </w:r>
          </w:p>
        </w:tc>
        <w:tc>
          <w:tcPr>
            <w:tcW w:w="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0FDD9">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DF515">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2024年8月19日</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F68F9">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A8BE4">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980C3">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2024年8月19日</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6604E">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0D48D">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E9B66">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8B7DB">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B2007">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75C61">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42B93">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r>
      <w:tr w14:paraId="5BD683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196D5">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18</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4B5DEC">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玛合萨特·吐热安</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6F05E4">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24年毕业生</w:t>
            </w:r>
          </w:p>
        </w:tc>
        <w:tc>
          <w:tcPr>
            <w:tcW w:w="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B527F">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DFE04">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2024年8月19日</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DD0FA">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383BD">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02134">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2024年8月19日</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A58B7">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C86A9">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36049">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F20C6">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EE6D9">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D5255">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F789E">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r>
      <w:tr w14:paraId="29D18D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97A1E">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19</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4CBF0F">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迪丽拜尔·卡那阿提</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ECDE06">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24年毕业生</w:t>
            </w:r>
          </w:p>
        </w:tc>
        <w:tc>
          <w:tcPr>
            <w:tcW w:w="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D48DA">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38914">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2024年8月19日</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01341">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16BAB">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B4C02">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2024年8月19日</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DC732">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A35C6">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3836D">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6CC74">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23FB5">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8746B">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1D209">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r>
      <w:tr w14:paraId="71CF76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5E068">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47E2FE">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阿尔西尼·吾力加别克</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7AA672">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24年毕业生</w:t>
            </w:r>
          </w:p>
        </w:tc>
        <w:tc>
          <w:tcPr>
            <w:tcW w:w="2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C2574">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6744B">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2024年8月19日</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C4FDB">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10497">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A095C">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2024年8月19日</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CD2D1">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0.25</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5C114">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2ADCE">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640DB">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F08C8">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C205F">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76A58">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r>
      <w:tr w14:paraId="78ADA0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10E8B">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21</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B23BD2">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杨烁</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8710B3">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新生</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6DBB33">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8B751">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32F8B">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9DE1D8">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13225">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3F78C">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8FD46">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45028">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2024年9月20日</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C3466">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0DAF5">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638AD">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2024年12月9日</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8EF8D">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r>
      <w:tr w14:paraId="0F8A4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78C88">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22</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A046F3">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麦迪乃·麦艾麦提江</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E3E75F">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新生</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C57FF9">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4867A">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69812">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489F85">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A8DF8">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27F98">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E427A">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3DF76">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2024年9月20日</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FD576">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DD7AE">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1D4F6">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2024年12月9日</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E6ED7">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r>
      <w:tr w14:paraId="68E70F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4D14C">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23</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9A62E6">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达尼亚尔·阿布迪克力木</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832F42">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新生</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8950BA">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9FD6B">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E9C89">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056725">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E6556">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7907E">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6CD5D">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7C849">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2024年9月20日</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3EA2A">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F6050">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A468B">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2024年12月9日</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8D1A9">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r>
      <w:tr w14:paraId="1FF7A0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BBC97">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24</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2D0BFC">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阿迪兰·吐尔干</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C82424">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新生</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CC388A">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F7EF4">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2064A">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FC83C2">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90B7B">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F1DD0">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497AF">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CE5A5">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2024年9月20日</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AA712">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1B280">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09706">
            <w:pPr>
              <w:keepNext w:val="0"/>
              <w:keepLines w:val="0"/>
              <w:widowControl/>
              <w:suppressLineNumbers w:val="0"/>
              <w:snapToGrid/>
              <w:spacing w:line="240" w:lineRule="auto"/>
              <w:ind w:firstLine="0" w:firstLineChars="0"/>
              <w:jc w:val="center"/>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2024年12月9日</w:t>
            </w:r>
          </w:p>
        </w:tc>
        <w:tc>
          <w:tcPr>
            <w:tcW w:w="3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19517">
            <w:pPr>
              <w:keepNext w:val="0"/>
              <w:keepLines w:val="0"/>
              <w:widowControl/>
              <w:suppressLineNumbers w:val="0"/>
              <w:snapToGrid/>
              <w:spacing w:line="240" w:lineRule="auto"/>
              <w:ind w:firstLine="0" w:firstLineChars="0"/>
              <w:jc w:val="right"/>
              <w:textAlignment w:val="center"/>
              <w:rPr>
                <w:rFonts w:hint="default" w:ascii="Times New Roman" w:hAnsi="Times New Roman" w:eastAsia="宋体" w:cs="Times New Roman"/>
                <w:i w:val="0"/>
                <w:iCs w:val="0"/>
                <w:color w:val="auto"/>
                <w:kern w:val="0"/>
                <w:sz w:val="21"/>
                <w:szCs w:val="21"/>
                <w:u w:val="none"/>
                <w:lang w:bidi="ar"/>
              </w:rPr>
            </w:pPr>
            <w:r>
              <w:rPr>
                <w:rFonts w:hint="default" w:ascii="Times New Roman" w:hAnsi="Times New Roman" w:eastAsia="宋体" w:cs="Times New Roman"/>
                <w:i w:val="0"/>
                <w:iCs w:val="0"/>
                <w:color w:val="auto"/>
                <w:kern w:val="0"/>
                <w:sz w:val="21"/>
                <w:szCs w:val="21"/>
                <w:u w:val="none"/>
                <w:lang w:val="en-US" w:eastAsia="zh-CN" w:bidi="ar"/>
              </w:rPr>
              <w:t xml:space="preserve">0.25 </w:t>
            </w:r>
          </w:p>
        </w:tc>
      </w:tr>
    </w:tbl>
    <w:p w14:paraId="461867E5">
      <w:pPr>
        <w:pStyle w:val="8"/>
        <w:ind w:left="0" w:leftChars="0" w:firstLine="0" w:firstLineChars="0"/>
        <w:rPr>
          <w:lang w:bidi="ar"/>
        </w:rPr>
        <w:sectPr>
          <w:pgSz w:w="16838" w:h="11906" w:orient="landscape"/>
          <w:pgMar w:top="1800" w:right="1440" w:bottom="1800" w:left="1440" w:header="1020" w:footer="907" w:gutter="0"/>
          <w:pgBorders>
            <w:top w:val="none" w:sz="0" w:space="0"/>
            <w:left w:val="none" w:sz="0" w:space="0"/>
            <w:bottom w:val="none" w:sz="0" w:space="0"/>
            <w:right w:val="none" w:sz="0" w:space="0"/>
          </w:pgBorders>
          <w:pgNumType w:fmt="decimal"/>
          <w:cols w:space="425" w:num="1"/>
          <w:rtlGutter w:val="0"/>
          <w:docGrid w:type="lines" w:linePitch="312" w:charSpace="0"/>
        </w:sectPr>
      </w:pPr>
    </w:p>
    <w:p w14:paraId="5DB460A0">
      <w:pPr>
        <w:pStyle w:val="4"/>
        <w:pageBreakBefore w:val="0"/>
        <w:kinsoku/>
        <w:wordWrap/>
        <w:overflowPunct/>
        <w:topLinePunct w:val="0"/>
        <w:autoSpaceDE/>
        <w:autoSpaceDN/>
        <w:bidi w:val="0"/>
        <w:snapToGrid w:val="0"/>
        <w:spacing w:line="360" w:lineRule="auto"/>
        <w:ind w:firstLine="0" w:firstLineChars="0"/>
        <w:rPr>
          <w:rFonts w:ascii="Times New Roman" w:hAnsi="Times New Roman" w:cs="Times New Roman"/>
          <w:color w:val="auto"/>
        </w:rPr>
      </w:pPr>
      <w:bookmarkStart w:id="102" w:name="_Toc22354"/>
      <w:r>
        <w:rPr>
          <w:rFonts w:ascii="Times New Roman" w:hAnsi="Times New Roman" w:cs="Times New Roman"/>
          <w:color w:val="auto"/>
        </w:rPr>
        <w:t>附件3：问卷调查分析报告</w:t>
      </w:r>
      <w:bookmarkEnd w:id="101"/>
      <w:bookmarkEnd w:id="102"/>
    </w:p>
    <w:p w14:paraId="459D6064">
      <w:pPr>
        <w:spacing w:line="360" w:lineRule="auto"/>
        <w:ind w:firstLine="420"/>
        <w:rPr>
          <w:rFonts w:ascii="Times New Roman" w:hAnsi="Times New Roman" w:cs="Times New Roman"/>
          <w:color w:val="auto"/>
        </w:rPr>
      </w:pPr>
      <w:r>
        <w:rPr>
          <w:rFonts w:hint="default" w:ascii="Times New Roman" w:hAnsi="Times New Roman" w:cs="Times New Roman"/>
          <w:color w:val="auto"/>
        </w:rPr>
        <w:t>本次绩效评价的对象为</w:t>
      </w:r>
      <w:r>
        <w:rPr>
          <w:rFonts w:hint="default" w:ascii="Times New Roman" w:hAnsi="Times New Roman" w:cs="Times New Roman"/>
          <w:color w:val="auto"/>
          <w:lang w:eastAsia="zh-CN"/>
        </w:rPr>
        <w:t>伊宁县</w:t>
      </w:r>
      <w:r>
        <w:rPr>
          <w:rFonts w:hint="default" w:ascii="Times New Roman" w:hAnsi="Times New Roman" w:cs="Times New Roman"/>
          <w:color w:val="auto"/>
        </w:rPr>
        <w:t>民政局“</w:t>
      </w:r>
      <w:r>
        <w:rPr>
          <w:rFonts w:hint="default" w:ascii="Times New Roman" w:hAnsi="Times New Roman" w:cs="Times New Roman"/>
          <w:color w:val="auto"/>
          <w:lang w:eastAsia="zh-CN"/>
        </w:rPr>
        <w:t>福彩圆梦孤儿助学工程</w:t>
      </w:r>
      <w:r>
        <w:rPr>
          <w:rFonts w:hint="default" w:ascii="Times New Roman" w:hAnsi="Times New Roman" w:cs="Times New Roman"/>
          <w:color w:val="auto"/>
        </w:rPr>
        <w:t>”项目，为客观评价该项目的社会效果，绩效评价小组工具公众评判法，引入孤儿学生完学率提升、孤儿教育水平提升情况、受助孤儿满意度等效益指标，了解受助班主任对项目的评价情况，对本项目</w:t>
      </w:r>
      <w:r>
        <w:rPr>
          <w:rFonts w:hint="default" w:ascii="Times New Roman" w:hAnsi="Times New Roman" w:cs="Times New Roman"/>
          <w:color w:val="auto"/>
          <w:lang w:eastAsia="zh-CN"/>
        </w:rPr>
        <w:t>开展</w:t>
      </w:r>
      <w:r>
        <w:rPr>
          <w:rFonts w:hint="default" w:ascii="Times New Roman" w:hAnsi="Times New Roman" w:cs="Times New Roman"/>
          <w:color w:val="auto"/>
        </w:rPr>
        <w:t>满意度问卷调查。问卷调查工作情况如下：</w:t>
      </w:r>
    </w:p>
    <w:p w14:paraId="496BEF3F">
      <w:pPr>
        <w:spacing w:line="360" w:lineRule="auto"/>
        <w:ind w:firstLine="422"/>
        <w:rPr>
          <w:rFonts w:ascii="Times New Roman" w:hAnsi="Times New Roman" w:cs="Times New Roman"/>
          <w:b/>
          <w:bCs/>
          <w:color w:val="auto"/>
        </w:rPr>
      </w:pPr>
      <w:bookmarkStart w:id="103" w:name="_Toc529373554"/>
      <w:bookmarkStart w:id="104" w:name="_Toc529373321"/>
      <w:r>
        <w:rPr>
          <w:rFonts w:ascii="Times New Roman" w:hAnsi="Times New Roman" w:cs="Times New Roman"/>
          <w:b/>
          <w:bCs/>
          <w:color w:val="auto"/>
        </w:rPr>
        <w:t>1.调研对象</w:t>
      </w:r>
      <w:bookmarkEnd w:id="103"/>
      <w:bookmarkEnd w:id="104"/>
    </w:p>
    <w:p w14:paraId="5606A96C">
      <w:pPr>
        <w:spacing w:line="360" w:lineRule="auto"/>
        <w:ind w:firstLine="420"/>
        <w:rPr>
          <w:rFonts w:ascii="Times New Roman" w:hAnsi="Times New Roman" w:cs="Times New Roman"/>
          <w:color w:val="auto"/>
        </w:rPr>
      </w:pPr>
      <w:r>
        <w:rPr>
          <w:rFonts w:hint="default" w:ascii="Times New Roman" w:hAnsi="Times New Roman" w:cs="Times New Roman"/>
          <w:color w:val="auto"/>
        </w:rPr>
        <w:t>本次调研的受益对象</w:t>
      </w:r>
      <w:r>
        <w:rPr>
          <w:rFonts w:hint="default" w:ascii="Times New Roman" w:hAnsi="Times New Roman" w:cs="Times New Roman"/>
          <w:color w:val="auto"/>
          <w:lang w:val="en-US" w:eastAsia="zh-CN"/>
        </w:rPr>
        <w:t>24</w:t>
      </w:r>
      <w:r>
        <w:rPr>
          <w:rFonts w:hint="default" w:ascii="Times New Roman" w:hAnsi="Times New Roman" w:cs="Times New Roman"/>
          <w:color w:val="auto"/>
        </w:rPr>
        <w:t>名受助孤儿。</w:t>
      </w:r>
    </w:p>
    <w:p w14:paraId="3629469B">
      <w:pPr>
        <w:spacing w:line="360" w:lineRule="auto"/>
        <w:ind w:firstLine="422"/>
        <w:rPr>
          <w:rFonts w:ascii="Times New Roman" w:hAnsi="Times New Roman" w:cs="Times New Roman"/>
          <w:b/>
          <w:bCs/>
          <w:color w:val="auto"/>
        </w:rPr>
      </w:pPr>
      <w:bookmarkStart w:id="105" w:name="_Toc529373322"/>
      <w:bookmarkStart w:id="106" w:name="_Toc529373555"/>
      <w:r>
        <w:rPr>
          <w:rFonts w:ascii="Times New Roman" w:hAnsi="Times New Roman" w:cs="Times New Roman"/>
          <w:b/>
          <w:bCs/>
          <w:color w:val="auto"/>
        </w:rPr>
        <w:t>2.调研内容</w:t>
      </w:r>
      <w:bookmarkEnd w:id="105"/>
      <w:bookmarkEnd w:id="106"/>
    </w:p>
    <w:p w14:paraId="54DADAEA">
      <w:pPr>
        <w:spacing w:line="360" w:lineRule="auto"/>
        <w:ind w:firstLine="420"/>
        <w:jc w:val="left"/>
        <w:rPr>
          <w:rFonts w:ascii="Times New Roman" w:hAnsi="Times New Roman" w:cs="Times New Roman"/>
          <w:color w:val="auto"/>
        </w:rPr>
      </w:pPr>
      <w:r>
        <w:rPr>
          <w:rFonts w:hint="default" w:ascii="Times New Roman" w:hAnsi="Times New Roman" w:cs="Times New Roman"/>
          <w:color w:val="auto"/>
        </w:rPr>
        <w:t>（1）对</w:t>
      </w:r>
      <w:r>
        <w:rPr>
          <w:rFonts w:hint="default" w:ascii="Times New Roman" w:hAnsi="Times New Roman" w:cs="Times New Roman"/>
          <w:color w:val="auto"/>
          <w:lang w:eastAsia="zh-CN"/>
        </w:rPr>
        <w:t>伊宁县</w:t>
      </w:r>
      <w:r>
        <w:rPr>
          <w:rFonts w:hint="default" w:ascii="Times New Roman" w:hAnsi="Times New Roman" w:cs="Times New Roman"/>
          <w:color w:val="auto"/>
        </w:rPr>
        <w:t>民政局“</w:t>
      </w:r>
      <w:r>
        <w:rPr>
          <w:rFonts w:hint="default" w:ascii="Times New Roman" w:hAnsi="Times New Roman" w:cs="Times New Roman"/>
          <w:color w:val="auto"/>
          <w:lang w:eastAsia="zh-CN"/>
        </w:rPr>
        <w:t>福彩圆梦孤儿助学工程</w:t>
      </w:r>
      <w:r>
        <w:rPr>
          <w:rFonts w:hint="default" w:ascii="Times New Roman" w:hAnsi="Times New Roman" w:cs="Times New Roman"/>
          <w:color w:val="auto"/>
        </w:rPr>
        <w:t>”项目实施后的满意度，包括对项目情况是否了解、知晓和满意等。</w:t>
      </w:r>
    </w:p>
    <w:p w14:paraId="3AA985AB">
      <w:pPr>
        <w:spacing w:line="360" w:lineRule="auto"/>
        <w:ind w:firstLine="420"/>
        <w:jc w:val="left"/>
        <w:rPr>
          <w:rFonts w:ascii="Times New Roman" w:hAnsi="Times New Roman" w:cs="Times New Roman"/>
          <w:color w:val="auto"/>
        </w:rPr>
      </w:pPr>
      <w:r>
        <w:rPr>
          <w:rFonts w:hint="default" w:ascii="Times New Roman" w:hAnsi="Times New Roman" w:cs="Times New Roman"/>
          <w:color w:val="auto"/>
        </w:rPr>
        <w:t>（2）对</w:t>
      </w:r>
      <w:r>
        <w:rPr>
          <w:rFonts w:hint="default" w:ascii="Times New Roman" w:hAnsi="Times New Roman" w:cs="Times New Roman"/>
          <w:color w:val="auto"/>
          <w:lang w:eastAsia="zh-CN"/>
        </w:rPr>
        <w:t>伊宁县</w:t>
      </w:r>
      <w:r>
        <w:rPr>
          <w:rFonts w:hint="default" w:ascii="Times New Roman" w:hAnsi="Times New Roman" w:cs="Times New Roman"/>
          <w:color w:val="auto"/>
        </w:rPr>
        <w:t>民政局“</w:t>
      </w:r>
      <w:r>
        <w:rPr>
          <w:rFonts w:hint="default" w:ascii="Times New Roman" w:hAnsi="Times New Roman" w:cs="Times New Roman"/>
          <w:color w:val="auto"/>
          <w:lang w:eastAsia="zh-CN"/>
        </w:rPr>
        <w:t>福彩圆梦孤儿助学工程</w:t>
      </w:r>
      <w:r>
        <w:rPr>
          <w:rFonts w:hint="default" w:ascii="Times New Roman" w:hAnsi="Times New Roman" w:cs="Times New Roman"/>
          <w:color w:val="auto"/>
        </w:rPr>
        <w:t>”项目的意见和建议，通过开放式问答收集，涵盖各个方面。</w:t>
      </w:r>
    </w:p>
    <w:p w14:paraId="20F7E931">
      <w:pPr>
        <w:spacing w:line="360" w:lineRule="auto"/>
        <w:ind w:firstLine="422"/>
        <w:rPr>
          <w:rFonts w:ascii="Times New Roman" w:hAnsi="Times New Roman" w:cs="Times New Roman"/>
          <w:b/>
          <w:bCs/>
          <w:color w:val="auto"/>
        </w:rPr>
      </w:pPr>
      <w:bookmarkStart w:id="107" w:name="_Toc529373323"/>
      <w:bookmarkStart w:id="108" w:name="_Toc529373556"/>
      <w:r>
        <w:rPr>
          <w:rFonts w:ascii="Times New Roman" w:hAnsi="Times New Roman" w:cs="Times New Roman"/>
          <w:b/>
          <w:bCs/>
          <w:color w:val="auto"/>
        </w:rPr>
        <w:t>3.调研方法</w:t>
      </w:r>
      <w:bookmarkEnd w:id="107"/>
      <w:bookmarkEnd w:id="108"/>
    </w:p>
    <w:p w14:paraId="216D8BE3">
      <w:pPr>
        <w:spacing w:line="360" w:lineRule="auto"/>
        <w:ind w:firstLine="420"/>
        <w:jc w:val="left"/>
        <w:rPr>
          <w:rFonts w:ascii="Times New Roman" w:hAnsi="Times New Roman" w:cs="Times New Roman"/>
          <w:color w:val="auto"/>
        </w:rPr>
      </w:pPr>
      <w:r>
        <w:rPr>
          <w:rFonts w:hint="default" w:ascii="Times New Roman" w:hAnsi="Times New Roman" w:cs="Times New Roman"/>
          <w:color w:val="auto"/>
        </w:rPr>
        <w:t>问卷调查采取抽样和重点选取的方式进行</w:t>
      </w:r>
      <w:r>
        <w:rPr>
          <w:rFonts w:hint="eastAsia" w:cs="Times New Roman"/>
          <w:color w:val="auto"/>
          <w:lang w:eastAsia="zh-CN"/>
        </w:rPr>
        <w:t>，</w:t>
      </w:r>
      <w:r>
        <w:rPr>
          <w:rFonts w:hint="default" w:ascii="Times New Roman" w:hAnsi="Times New Roman" w:cs="Times New Roman"/>
          <w:color w:val="auto"/>
        </w:rPr>
        <w:t>对</w:t>
      </w:r>
      <w:r>
        <w:rPr>
          <w:rFonts w:hint="default" w:ascii="Times New Roman" w:hAnsi="Times New Roman" w:cs="Times New Roman"/>
          <w:color w:val="auto"/>
          <w:lang w:eastAsia="zh-CN"/>
        </w:rPr>
        <w:t>2024</w:t>
      </w:r>
      <w:r>
        <w:rPr>
          <w:rFonts w:hint="default" w:ascii="Times New Roman" w:hAnsi="Times New Roman" w:cs="Times New Roman"/>
          <w:color w:val="auto"/>
        </w:rPr>
        <w:t>年度该项目对象涉及的</w:t>
      </w:r>
      <w:r>
        <w:rPr>
          <w:rFonts w:hint="default" w:ascii="Times New Roman" w:hAnsi="Times New Roman" w:cs="Times New Roman"/>
          <w:color w:val="auto"/>
          <w:lang w:val="en-US" w:eastAsia="zh-CN"/>
        </w:rPr>
        <w:t>24</w:t>
      </w:r>
      <w:r>
        <w:rPr>
          <w:rFonts w:hint="default" w:ascii="Times New Roman" w:hAnsi="Times New Roman" w:cs="Times New Roman"/>
          <w:color w:val="auto"/>
        </w:rPr>
        <w:t>名受助孤儿全部开展满意度调查。</w:t>
      </w:r>
    </w:p>
    <w:p w14:paraId="7D011EC9">
      <w:pPr>
        <w:tabs>
          <w:tab w:val="left" w:pos="483"/>
        </w:tabs>
        <w:spacing w:line="360" w:lineRule="auto"/>
        <w:ind w:firstLine="422"/>
        <w:rPr>
          <w:rFonts w:ascii="Times New Roman" w:hAnsi="Times New Roman" w:cs="Times New Roman"/>
          <w:b/>
          <w:bCs/>
          <w:color w:val="auto"/>
        </w:rPr>
      </w:pPr>
      <w:bookmarkStart w:id="109" w:name="_Toc529373325"/>
      <w:bookmarkStart w:id="110" w:name="_Toc529373558"/>
      <w:r>
        <w:rPr>
          <w:rFonts w:hint="eastAsia" w:cs="Times New Roman"/>
          <w:b/>
          <w:bCs/>
          <w:color w:val="auto"/>
          <w:lang w:eastAsia="zh-CN"/>
        </w:rPr>
        <w:tab/>
      </w:r>
      <w:r>
        <w:rPr>
          <w:rFonts w:hint="eastAsia" w:cs="Times New Roman"/>
          <w:b/>
          <w:bCs/>
          <w:color w:val="auto"/>
          <w:lang w:val="en-US" w:eastAsia="zh-CN"/>
        </w:rPr>
        <w:t>4</w:t>
      </w:r>
      <w:r>
        <w:rPr>
          <w:rFonts w:ascii="Times New Roman" w:hAnsi="Times New Roman" w:cs="Times New Roman"/>
          <w:b/>
          <w:bCs/>
          <w:color w:val="auto"/>
        </w:rPr>
        <w:t>.问卷的发放和回收</w:t>
      </w:r>
      <w:bookmarkEnd w:id="109"/>
      <w:bookmarkEnd w:id="110"/>
    </w:p>
    <w:p w14:paraId="5CFF23B2">
      <w:pPr>
        <w:spacing w:line="360" w:lineRule="auto"/>
        <w:ind w:firstLine="420"/>
        <w:jc w:val="left"/>
        <w:rPr>
          <w:rFonts w:ascii="Times New Roman" w:hAnsi="Times New Roman" w:cs="Times New Roman"/>
          <w:color w:val="auto"/>
        </w:rPr>
      </w:pPr>
      <w:r>
        <w:rPr>
          <w:rFonts w:hint="default" w:ascii="Times New Roman" w:hAnsi="Times New Roman" w:cs="Times New Roman"/>
          <w:color w:val="auto"/>
        </w:rPr>
        <w:t>为充分采集调研对象的真实想法，保证调研的公平性和科学性，本次问卷调研在</w:t>
      </w:r>
      <w:r>
        <w:rPr>
          <w:rFonts w:hint="default" w:ascii="Times New Roman" w:hAnsi="Times New Roman" w:cs="Times New Roman"/>
          <w:color w:val="auto"/>
          <w:lang w:eastAsia="zh-CN"/>
        </w:rPr>
        <w:t>伊宁县</w:t>
      </w:r>
      <w:r>
        <w:rPr>
          <w:rFonts w:hint="default" w:ascii="Times New Roman" w:hAnsi="Times New Roman" w:cs="Times New Roman"/>
          <w:color w:val="auto"/>
        </w:rPr>
        <w:t>民政局单位的协调配合下，组织安排线上电子问卷的发放与回收。</w:t>
      </w:r>
    </w:p>
    <w:p w14:paraId="7046C1A7">
      <w:pPr>
        <w:numPr>
          <w:ilvl w:val="-1"/>
          <w:numId w:val="0"/>
        </w:numPr>
        <w:spacing w:line="360" w:lineRule="auto"/>
        <w:ind w:left="420" w:firstLine="0" w:firstLineChars="0"/>
        <w:jc w:val="left"/>
        <w:rPr>
          <w:rFonts w:ascii="Times New Roman" w:hAnsi="Times New Roman" w:cs="Times New Roman"/>
          <w:b/>
          <w:bCs/>
          <w:color w:val="auto"/>
        </w:rPr>
      </w:pPr>
      <w:r>
        <w:rPr>
          <w:rFonts w:hint="eastAsia" w:cs="Times New Roman"/>
          <w:b/>
          <w:bCs/>
          <w:color w:val="auto"/>
          <w:lang w:val="en-US" w:eastAsia="zh-CN"/>
        </w:rPr>
        <w:t>5.</w:t>
      </w:r>
      <w:r>
        <w:rPr>
          <w:rFonts w:ascii="Times New Roman" w:hAnsi="Times New Roman" w:cs="Times New Roman"/>
          <w:b/>
          <w:bCs/>
          <w:color w:val="auto"/>
        </w:rPr>
        <w:t>问卷调查分析结果</w:t>
      </w:r>
    </w:p>
    <w:p w14:paraId="719911CE">
      <w:pPr>
        <w:spacing w:line="360" w:lineRule="auto"/>
        <w:ind w:firstLine="420"/>
        <w:jc w:val="left"/>
        <w:rPr>
          <w:rFonts w:hint="default" w:ascii="Times New Roman" w:hAnsi="Times New Roman" w:cs="Times New Roman"/>
          <w:color w:val="auto"/>
        </w:rPr>
      </w:pPr>
      <w:r>
        <w:rPr>
          <w:rFonts w:hint="default" w:ascii="Times New Roman" w:hAnsi="Times New Roman" w:cs="Times New Roman"/>
          <w:color w:val="auto"/>
        </w:rPr>
        <w:t>本次调研过程中，评价小组实际发放问卷</w:t>
      </w:r>
      <w:r>
        <w:rPr>
          <w:rFonts w:hint="default" w:ascii="Times New Roman" w:hAnsi="Times New Roman" w:cs="Times New Roman"/>
          <w:color w:val="auto"/>
          <w:lang w:val="en-US" w:eastAsia="zh-CN"/>
        </w:rPr>
        <w:t>24</w:t>
      </w:r>
      <w:r>
        <w:rPr>
          <w:rFonts w:hint="default" w:ascii="Times New Roman" w:hAnsi="Times New Roman" w:cs="Times New Roman"/>
          <w:color w:val="auto"/>
        </w:rPr>
        <w:t>份，回收问卷</w:t>
      </w:r>
      <w:r>
        <w:rPr>
          <w:rFonts w:hint="default" w:ascii="Times New Roman" w:hAnsi="Times New Roman" w:cs="Times New Roman"/>
          <w:color w:val="auto"/>
          <w:lang w:val="en-US" w:eastAsia="zh-CN"/>
        </w:rPr>
        <w:t>24</w:t>
      </w:r>
      <w:r>
        <w:rPr>
          <w:rFonts w:hint="default" w:ascii="Times New Roman" w:hAnsi="Times New Roman" w:cs="Times New Roman"/>
          <w:color w:val="auto"/>
        </w:rPr>
        <w:t>份，问卷回收率为100.00%，有效问卷</w:t>
      </w:r>
      <w:r>
        <w:rPr>
          <w:rFonts w:hint="default" w:ascii="Times New Roman" w:hAnsi="Times New Roman" w:cs="Times New Roman"/>
          <w:color w:val="auto"/>
          <w:lang w:val="en-US" w:eastAsia="zh-CN"/>
        </w:rPr>
        <w:t>24</w:t>
      </w:r>
      <w:r>
        <w:rPr>
          <w:rFonts w:hint="default" w:ascii="Times New Roman" w:hAnsi="Times New Roman" w:cs="Times New Roman"/>
          <w:color w:val="auto"/>
        </w:rPr>
        <w:t>份，有效回收率100.00%，根据调研反馈，受益</w:t>
      </w:r>
      <w:r>
        <w:rPr>
          <w:rFonts w:hint="default" w:ascii="Times New Roman" w:hAnsi="Times New Roman" w:cs="Times New Roman"/>
          <w:color w:val="auto"/>
          <w:lang w:val="en-US" w:eastAsia="zh-CN"/>
        </w:rPr>
        <w:t>孤儿</w:t>
      </w:r>
      <w:r>
        <w:rPr>
          <w:rFonts w:hint="default" w:ascii="Times New Roman" w:hAnsi="Times New Roman" w:cs="Times New Roman"/>
          <w:color w:val="auto"/>
        </w:rPr>
        <w:t>对项目效益方面总体比较满意。本次调研的整体情况如下：</w:t>
      </w:r>
    </w:p>
    <w:p w14:paraId="30C83EB0">
      <w:pPr>
        <w:pStyle w:val="2"/>
        <w:spacing w:line="360" w:lineRule="auto"/>
        <w:ind w:left="0" w:leftChars="0" w:firstLine="0" w:firstLineChars="0"/>
        <w:rPr>
          <w:rFonts w:hint="default" w:ascii="Times New Roman" w:hAnsi="Times New Roman" w:eastAsia="宋体" w:cs="Times New Roman"/>
          <w:color w:val="auto"/>
          <w:kern w:val="0"/>
          <w:lang w:val="en-US" w:eastAsia="zh-CN" w:bidi="ar"/>
        </w:rPr>
      </w:pPr>
      <w:r>
        <w:rPr>
          <w:rFonts w:ascii="Times New Roman" w:hAnsi="Times New Roman" w:eastAsia="宋体" w:cs="Times New Roman"/>
          <w:color w:val="auto"/>
          <w:kern w:val="0"/>
          <w:lang w:bidi="ar"/>
        </w:rPr>
        <w:t>（1）</w:t>
      </w:r>
      <w:r>
        <w:rPr>
          <w:rFonts w:hint="default" w:ascii="Times New Roman" w:hAnsi="Times New Roman" w:eastAsia="宋体" w:cs="Times New Roman"/>
          <w:color w:val="auto"/>
          <w:kern w:val="0"/>
          <w:lang w:val="en-US" w:eastAsia="zh-CN" w:bidi="ar"/>
        </w:rPr>
        <w:t>您的身份是？</w:t>
      </w:r>
    </w:p>
    <w:tbl>
      <w:tblPr>
        <w:tblStyle w:val="18"/>
        <w:tblW w:w="5008" w:type="pct"/>
        <w:tblInd w:w="-3" w:type="dxa"/>
        <w:tblLayout w:type="autofit"/>
        <w:tblCellMar>
          <w:top w:w="0" w:type="dxa"/>
          <w:left w:w="108" w:type="dxa"/>
          <w:bottom w:w="0" w:type="dxa"/>
          <w:right w:w="108" w:type="dxa"/>
        </w:tblCellMar>
      </w:tblPr>
      <w:tblGrid>
        <w:gridCol w:w="2849"/>
        <w:gridCol w:w="2937"/>
        <w:gridCol w:w="2750"/>
      </w:tblGrid>
      <w:tr w14:paraId="128C61E8">
        <w:tblPrEx>
          <w:tblCellMar>
            <w:top w:w="0" w:type="dxa"/>
            <w:left w:w="108" w:type="dxa"/>
            <w:bottom w:w="0" w:type="dxa"/>
            <w:right w:w="108" w:type="dxa"/>
          </w:tblCellMar>
        </w:tblPrEx>
        <w:trPr>
          <w:trHeight w:val="363" w:hRule="atLeast"/>
        </w:trPr>
        <w:tc>
          <w:tcPr>
            <w:tcW w:w="1668" w:type="pct"/>
            <w:tcBorders>
              <w:top w:val="single" w:color="000000" w:sz="4" w:space="0"/>
              <w:left w:val="single" w:color="000000" w:sz="4" w:space="0"/>
              <w:bottom w:val="single" w:color="000000" w:sz="4" w:space="0"/>
              <w:right w:val="single" w:color="000000" w:sz="4" w:space="0"/>
            </w:tcBorders>
            <w:shd w:val="clear" w:color="auto" w:fill="D8E5EC"/>
            <w:vAlign w:val="center"/>
          </w:tcPr>
          <w:p w14:paraId="0D2ABA74">
            <w:pPr>
              <w:widowControl/>
              <w:spacing w:line="240" w:lineRule="auto"/>
              <w:ind w:firstLine="0" w:firstLineChars="0"/>
              <w:jc w:val="left"/>
              <w:textAlignment w:val="center"/>
              <w:rPr>
                <w:rFonts w:ascii="Times New Roman" w:hAnsi="Times New Roman" w:eastAsia="宋体" w:cs="Times New Roman"/>
                <w:b/>
                <w:bCs/>
                <w:color w:val="auto"/>
              </w:rPr>
            </w:pPr>
            <w:r>
              <w:rPr>
                <w:rFonts w:ascii="Times New Roman" w:hAnsi="Times New Roman" w:eastAsia="宋体" w:cs="Times New Roman"/>
                <w:b/>
                <w:bCs/>
                <w:color w:val="auto"/>
                <w:kern w:val="0"/>
                <w:lang w:bidi="ar"/>
              </w:rPr>
              <w:t>选项</w:t>
            </w:r>
          </w:p>
        </w:tc>
        <w:tc>
          <w:tcPr>
            <w:tcW w:w="1720" w:type="pct"/>
            <w:tcBorders>
              <w:top w:val="single" w:color="000000" w:sz="4" w:space="0"/>
              <w:left w:val="single" w:color="000000" w:sz="4" w:space="0"/>
              <w:bottom w:val="single" w:color="000000" w:sz="4" w:space="0"/>
              <w:right w:val="single" w:color="000000" w:sz="4" w:space="0"/>
            </w:tcBorders>
            <w:shd w:val="clear" w:color="auto" w:fill="D8E5EC"/>
            <w:vAlign w:val="center"/>
          </w:tcPr>
          <w:p w14:paraId="43CC9540">
            <w:pPr>
              <w:widowControl/>
              <w:spacing w:line="240" w:lineRule="auto"/>
              <w:ind w:firstLine="0" w:firstLineChars="0"/>
              <w:jc w:val="left"/>
              <w:textAlignment w:val="center"/>
              <w:rPr>
                <w:rFonts w:ascii="Times New Roman" w:hAnsi="Times New Roman" w:eastAsia="宋体" w:cs="Times New Roman"/>
                <w:b/>
                <w:bCs/>
                <w:color w:val="auto"/>
              </w:rPr>
            </w:pPr>
            <w:r>
              <w:rPr>
                <w:rFonts w:ascii="Times New Roman" w:hAnsi="Times New Roman" w:eastAsia="宋体" w:cs="Times New Roman"/>
                <w:b/>
                <w:bCs/>
                <w:color w:val="auto"/>
                <w:kern w:val="0"/>
                <w:lang w:bidi="ar"/>
              </w:rPr>
              <w:t>反馈数量</w:t>
            </w:r>
          </w:p>
        </w:tc>
        <w:tc>
          <w:tcPr>
            <w:tcW w:w="1610" w:type="pct"/>
            <w:tcBorders>
              <w:top w:val="single" w:color="000000" w:sz="4" w:space="0"/>
              <w:left w:val="single" w:color="000000" w:sz="4" w:space="0"/>
              <w:bottom w:val="single" w:color="000000" w:sz="4" w:space="0"/>
              <w:right w:val="single" w:color="000000" w:sz="4" w:space="0"/>
            </w:tcBorders>
            <w:shd w:val="clear" w:color="auto" w:fill="D8E5EC"/>
            <w:vAlign w:val="center"/>
          </w:tcPr>
          <w:p w14:paraId="46A09493">
            <w:pPr>
              <w:widowControl/>
              <w:spacing w:line="240" w:lineRule="auto"/>
              <w:ind w:firstLine="0" w:firstLineChars="0"/>
              <w:jc w:val="left"/>
              <w:textAlignment w:val="center"/>
              <w:rPr>
                <w:rFonts w:ascii="Times New Roman" w:hAnsi="Times New Roman" w:eastAsia="宋体" w:cs="Times New Roman"/>
                <w:b/>
                <w:bCs/>
                <w:color w:val="auto"/>
              </w:rPr>
            </w:pPr>
            <w:r>
              <w:rPr>
                <w:rFonts w:ascii="Times New Roman" w:hAnsi="Times New Roman" w:eastAsia="宋体" w:cs="Times New Roman"/>
                <w:b/>
                <w:bCs/>
                <w:color w:val="auto"/>
                <w:kern w:val="0"/>
                <w:lang w:bidi="ar"/>
              </w:rPr>
              <w:t>占比</w:t>
            </w:r>
          </w:p>
        </w:tc>
      </w:tr>
      <w:tr w14:paraId="2550A20D">
        <w:tblPrEx>
          <w:tblCellMar>
            <w:top w:w="0" w:type="dxa"/>
            <w:left w:w="108" w:type="dxa"/>
            <w:bottom w:w="0" w:type="dxa"/>
            <w:right w:w="108" w:type="dxa"/>
          </w:tblCellMar>
        </w:tblPrEx>
        <w:trPr>
          <w:trHeight w:val="363" w:hRule="atLeast"/>
        </w:trPr>
        <w:tc>
          <w:tcPr>
            <w:tcW w:w="1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E6DA9B">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val="en-US" w:eastAsia="zh-CN" w:bidi="ar"/>
              </w:rPr>
              <w:t>受助孤儿本人</w:t>
            </w:r>
          </w:p>
        </w:tc>
        <w:tc>
          <w:tcPr>
            <w:tcW w:w="17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837A4B">
            <w:pPr>
              <w:widowControl/>
              <w:spacing w:line="240" w:lineRule="auto"/>
              <w:ind w:firstLine="0" w:firstLineChars="0"/>
              <w:jc w:val="left"/>
              <w:textAlignment w:val="center"/>
              <w:rPr>
                <w:rFonts w:hint="default" w:ascii="Times New Roman" w:hAnsi="Times New Roman" w:eastAsia="宋体" w:cs="Times New Roman"/>
                <w:color w:val="auto"/>
                <w:kern w:val="0"/>
                <w:lang w:val="en-US" w:eastAsia="zh-CN" w:bidi="ar"/>
              </w:rPr>
            </w:pPr>
            <w:r>
              <w:rPr>
                <w:rFonts w:hint="default" w:ascii="Times New Roman" w:hAnsi="Times New Roman" w:eastAsia="宋体" w:cs="Times New Roman"/>
                <w:color w:val="auto"/>
                <w:kern w:val="0"/>
                <w:lang w:val="en-US" w:eastAsia="zh-CN" w:bidi="ar"/>
              </w:rPr>
              <w:t>24</w:t>
            </w:r>
          </w:p>
        </w:tc>
        <w:tc>
          <w:tcPr>
            <w:tcW w:w="1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FA3D08">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val="en-US" w:eastAsia="zh-CN" w:bidi="ar"/>
              </w:rPr>
              <w:t>100.00</w:t>
            </w:r>
            <w:r>
              <w:rPr>
                <w:rFonts w:ascii="Times New Roman" w:hAnsi="Times New Roman" w:eastAsia="宋体" w:cs="Times New Roman"/>
                <w:color w:val="auto"/>
                <w:kern w:val="0"/>
                <w:lang w:bidi="ar"/>
              </w:rPr>
              <w:t>%</w:t>
            </w:r>
          </w:p>
        </w:tc>
      </w:tr>
      <w:tr w14:paraId="45AC52AA">
        <w:tblPrEx>
          <w:tblCellMar>
            <w:top w:w="0" w:type="dxa"/>
            <w:left w:w="108" w:type="dxa"/>
            <w:bottom w:w="0" w:type="dxa"/>
            <w:right w:w="108" w:type="dxa"/>
          </w:tblCellMar>
        </w:tblPrEx>
        <w:trPr>
          <w:trHeight w:val="363" w:hRule="atLeast"/>
        </w:trPr>
        <w:tc>
          <w:tcPr>
            <w:tcW w:w="1668" w:type="pct"/>
            <w:tcBorders>
              <w:top w:val="single" w:color="000000" w:sz="4" w:space="0"/>
              <w:left w:val="single" w:color="000000" w:sz="4" w:space="0"/>
              <w:bottom w:val="single" w:color="000000" w:sz="4" w:space="0"/>
              <w:right w:val="single" w:color="000000" w:sz="4" w:space="0"/>
            </w:tcBorders>
            <w:shd w:val="clear" w:color="auto" w:fill="EEF6FA"/>
            <w:vAlign w:val="center"/>
          </w:tcPr>
          <w:p w14:paraId="06936054">
            <w:pPr>
              <w:widowControl/>
              <w:spacing w:line="240" w:lineRule="auto"/>
              <w:ind w:firstLine="0" w:firstLineChars="0"/>
              <w:jc w:val="left"/>
              <w:textAlignment w:val="center"/>
              <w:rPr>
                <w:rFonts w:hint="default" w:ascii="Times New Roman" w:hAnsi="Times New Roman" w:eastAsia="宋体" w:cs="Times New Roman"/>
                <w:color w:val="auto"/>
                <w:kern w:val="0"/>
                <w:lang w:val="en-US" w:bidi="ar"/>
              </w:rPr>
            </w:pPr>
            <w:r>
              <w:rPr>
                <w:rFonts w:hint="default" w:ascii="Times New Roman" w:hAnsi="Times New Roman" w:eastAsia="宋体" w:cs="Times New Roman"/>
                <w:color w:val="auto"/>
                <w:kern w:val="0"/>
                <w:lang w:val="en-US" w:eastAsia="zh-CN" w:bidi="ar"/>
              </w:rPr>
              <w:t>受助孤儿的监护人</w:t>
            </w:r>
          </w:p>
        </w:tc>
        <w:tc>
          <w:tcPr>
            <w:tcW w:w="1720" w:type="pct"/>
            <w:tcBorders>
              <w:top w:val="single" w:color="000000" w:sz="4" w:space="0"/>
              <w:left w:val="single" w:color="000000" w:sz="4" w:space="0"/>
              <w:bottom w:val="single" w:color="000000" w:sz="4" w:space="0"/>
              <w:right w:val="single" w:color="000000" w:sz="4" w:space="0"/>
            </w:tcBorders>
            <w:shd w:val="clear" w:color="auto" w:fill="EEF6FA"/>
            <w:vAlign w:val="center"/>
          </w:tcPr>
          <w:p w14:paraId="55F295AA">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val="en-US" w:eastAsia="zh-CN" w:bidi="ar"/>
              </w:rPr>
              <w:t>0</w:t>
            </w:r>
          </w:p>
        </w:tc>
        <w:tc>
          <w:tcPr>
            <w:tcW w:w="1610" w:type="pct"/>
            <w:tcBorders>
              <w:top w:val="single" w:color="000000" w:sz="4" w:space="0"/>
              <w:left w:val="single" w:color="000000" w:sz="4" w:space="0"/>
              <w:bottom w:val="single" w:color="000000" w:sz="4" w:space="0"/>
              <w:right w:val="single" w:color="000000" w:sz="4" w:space="0"/>
            </w:tcBorders>
            <w:shd w:val="clear" w:color="auto" w:fill="EEF6FA"/>
            <w:vAlign w:val="center"/>
          </w:tcPr>
          <w:p w14:paraId="4B6B3998">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val="en-US" w:eastAsia="zh-CN" w:bidi="ar"/>
              </w:rPr>
              <w:t>0.00</w:t>
            </w:r>
            <w:r>
              <w:rPr>
                <w:rFonts w:ascii="Times New Roman" w:hAnsi="Times New Roman" w:eastAsia="宋体" w:cs="Times New Roman"/>
                <w:color w:val="auto"/>
                <w:kern w:val="0"/>
                <w:lang w:bidi="ar"/>
              </w:rPr>
              <w:t>%</w:t>
            </w:r>
          </w:p>
        </w:tc>
      </w:tr>
    </w:tbl>
    <w:p w14:paraId="5EA1EA8F">
      <w:pPr>
        <w:pStyle w:val="2"/>
        <w:spacing w:line="360" w:lineRule="auto"/>
        <w:ind w:left="0" w:leftChars="0" w:firstLine="0" w:firstLineChars="0"/>
        <w:rPr>
          <w:rFonts w:ascii="Times New Roman" w:hAnsi="Times New Roman" w:cs="Times New Roman"/>
          <w:color w:val="auto"/>
        </w:rPr>
      </w:pPr>
      <w:r>
        <w:rPr>
          <w:rFonts w:ascii="Times New Roman" w:hAnsi="Times New Roman" w:eastAsia="宋体" w:cs="Times New Roman"/>
          <w:color w:val="auto"/>
          <w:kern w:val="0"/>
          <w:lang w:bidi="ar"/>
        </w:rPr>
        <w:t>（</w:t>
      </w:r>
      <w:r>
        <w:rPr>
          <w:rFonts w:hint="default" w:ascii="Times New Roman" w:hAnsi="Times New Roman" w:eastAsia="宋体" w:cs="Times New Roman"/>
          <w:color w:val="auto"/>
          <w:kern w:val="0"/>
          <w:lang w:val="en-US" w:eastAsia="zh-CN" w:bidi="ar"/>
        </w:rPr>
        <w:t>2</w:t>
      </w:r>
      <w:r>
        <w:rPr>
          <w:rFonts w:ascii="Times New Roman" w:hAnsi="Times New Roman" w:eastAsia="宋体" w:cs="Times New Roman"/>
          <w:color w:val="auto"/>
          <w:kern w:val="0"/>
          <w:lang w:bidi="ar"/>
        </w:rPr>
        <w:t>）请问您就读的年级？</w:t>
      </w:r>
    </w:p>
    <w:tbl>
      <w:tblPr>
        <w:tblStyle w:val="18"/>
        <w:tblW w:w="5008" w:type="pct"/>
        <w:tblInd w:w="-3" w:type="dxa"/>
        <w:tblLayout w:type="autofit"/>
        <w:tblCellMar>
          <w:top w:w="0" w:type="dxa"/>
          <w:left w:w="108" w:type="dxa"/>
          <w:bottom w:w="0" w:type="dxa"/>
          <w:right w:w="108" w:type="dxa"/>
        </w:tblCellMar>
      </w:tblPr>
      <w:tblGrid>
        <w:gridCol w:w="2849"/>
        <w:gridCol w:w="2937"/>
        <w:gridCol w:w="2750"/>
      </w:tblGrid>
      <w:tr w14:paraId="71BE6567">
        <w:tblPrEx>
          <w:tblCellMar>
            <w:top w:w="0" w:type="dxa"/>
            <w:left w:w="108" w:type="dxa"/>
            <w:bottom w:w="0" w:type="dxa"/>
            <w:right w:w="108" w:type="dxa"/>
          </w:tblCellMar>
        </w:tblPrEx>
        <w:trPr>
          <w:trHeight w:val="363" w:hRule="atLeast"/>
        </w:trPr>
        <w:tc>
          <w:tcPr>
            <w:tcW w:w="1668" w:type="pct"/>
            <w:tcBorders>
              <w:top w:val="single" w:color="000000" w:sz="4" w:space="0"/>
              <w:left w:val="single" w:color="000000" w:sz="4" w:space="0"/>
              <w:bottom w:val="single" w:color="000000" w:sz="4" w:space="0"/>
              <w:right w:val="single" w:color="000000" w:sz="4" w:space="0"/>
            </w:tcBorders>
            <w:shd w:val="clear" w:color="auto" w:fill="D8E5EC"/>
            <w:vAlign w:val="center"/>
          </w:tcPr>
          <w:p w14:paraId="0A0ED15E">
            <w:pPr>
              <w:widowControl/>
              <w:spacing w:line="240" w:lineRule="auto"/>
              <w:ind w:firstLine="0" w:firstLineChars="0"/>
              <w:jc w:val="left"/>
              <w:textAlignment w:val="center"/>
              <w:rPr>
                <w:rFonts w:ascii="Times New Roman" w:hAnsi="Times New Roman" w:eastAsia="宋体" w:cs="Times New Roman"/>
                <w:b/>
                <w:bCs/>
                <w:color w:val="auto"/>
              </w:rPr>
            </w:pPr>
            <w:r>
              <w:rPr>
                <w:rFonts w:ascii="Times New Roman" w:hAnsi="Times New Roman" w:eastAsia="宋体" w:cs="Times New Roman"/>
                <w:b/>
                <w:bCs/>
                <w:color w:val="auto"/>
                <w:kern w:val="0"/>
                <w:lang w:bidi="ar"/>
              </w:rPr>
              <w:t>选项</w:t>
            </w:r>
          </w:p>
        </w:tc>
        <w:tc>
          <w:tcPr>
            <w:tcW w:w="1720" w:type="pct"/>
            <w:tcBorders>
              <w:top w:val="single" w:color="000000" w:sz="4" w:space="0"/>
              <w:left w:val="single" w:color="000000" w:sz="4" w:space="0"/>
              <w:bottom w:val="single" w:color="000000" w:sz="4" w:space="0"/>
              <w:right w:val="single" w:color="000000" w:sz="4" w:space="0"/>
            </w:tcBorders>
            <w:shd w:val="clear" w:color="auto" w:fill="D8E5EC"/>
            <w:vAlign w:val="center"/>
          </w:tcPr>
          <w:p w14:paraId="35E882CA">
            <w:pPr>
              <w:widowControl/>
              <w:spacing w:line="240" w:lineRule="auto"/>
              <w:ind w:firstLine="0" w:firstLineChars="0"/>
              <w:jc w:val="left"/>
              <w:textAlignment w:val="center"/>
              <w:rPr>
                <w:rFonts w:ascii="Times New Roman" w:hAnsi="Times New Roman" w:eastAsia="宋体" w:cs="Times New Roman"/>
                <w:b/>
                <w:bCs/>
                <w:color w:val="auto"/>
              </w:rPr>
            </w:pPr>
            <w:r>
              <w:rPr>
                <w:rFonts w:ascii="Times New Roman" w:hAnsi="Times New Roman" w:eastAsia="宋体" w:cs="Times New Roman"/>
                <w:b/>
                <w:bCs/>
                <w:color w:val="auto"/>
                <w:kern w:val="0"/>
                <w:lang w:bidi="ar"/>
              </w:rPr>
              <w:t>反馈数量</w:t>
            </w:r>
          </w:p>
        </w:tc>
        <w:tc>
          <w:tcPr>
            <w:tcW w:w="1610" w:type="pct"/>
            <w:tcBorders>
              <w:top w:val="single" w:color="000000" w:sz="4" w:space="0"/>
              <w:left w:val="single" w:color="000000" w:sz="4" w:space="0"/>
              <w:bottom w:val="single" w:color="000000" w:sz="4" w:space="0"/>
              <w:right w:val="single" w:color="000000" w:sz="4" w:space="0"/>
            </w:tcBorders>
            <w:shd w:val="clear" w:color="auto" w:fill="D8E5EC"/>
            <w:vAlign w:val="center"/>
          </w:tcPr>
          <w:p w14:paraId="1A83603F">
            <w:pPr>
              <w:widowControl/>
              <w:spacing w:line="240" w:lineRule="auto"/>
              <w:ind w:firstLine="0" w:firstLineChars="0"/>
              <w:jc w:val="left"/>
              <w:textAlignment w:val="center"/>
              <w:rPr>
                <w:rFonts w:ascii="Times New Roman" w:hAnsi="Times New Roman" w:eastAsia="宋体" w:cs="Times New Roman"/>
                <w:b/>
                <w:bCs/>
                <w:color w:val="auto"/>
              </w:rPr>
            </w:pPr>
            <w:r>
              <w:rPr>
                <w:rFonts w:ascii="Times New Roman" w:hAnsi="Times New Roman" w:eastAsia="宋体" w:cs="Times New Roman"/>
                <w:b/>
                <w:bCs/>
                <w:color w:val="auto"/>
                <w:kern w:val="0"/>
                <w:lang w:bidi="ar"/>
              </w:rPr>
              <w:t>占比</w:t>
            </w:r>
          </w:p>
        </w:tc>
      </w:tr>
      <w:tr w14:paraId="37286899">
        <w:tblPrEx>
          <w:tblCellMar>
            <w:top w:w="0" w:type="dxa"/>
            <w:left w:w="108" w:type="dxa"/>
            <w:bottom w:w="0" w:type="dxa"/>
            <w:right w:w="108" w:type="dxa"/>
          </w:tblCellMar>
        </w:tblPrEx>
        <w:trPr>
          <w:trHeight w:val="363" w:hRule="atLeast"/>
        </w:trPr>
        <w:tc>
          <w:tcPr>
            <w:tcW w:w="1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DC99D6">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ascii="Times New Roman" w:hAnsi="Times New Roman" w:eastAsia="宋体" w:cs="Times New Roman"/>
                <w:color w:val="auto"/>
                <w:kern w:val="0"/>
                <w:lang w:bidi="ar"/>
              </w:rPr>
              <w:t>中学</w:t>
            </w:r>
          </w:p>
        </w:tc>
        <w:tc>
          <w:tcPr>
            <w:tcW w:w="17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FFE128">
            <w:pPr>
              <w:widowControl/>
              <w:spacing w:line="240" w:lineRule="auto"/>
              <w:ind w:firstLine="0" w:firstLineChars="0"/>
              <w:jc w:val="left"/>
              <w:textAlignment w:val="center"/>
              <w:rPr>
                <w:rFonts w:hint="default" w:ascii="Times New Roman" w:hAnsi="Times New Roman" w:eastAsia="宋体" w:cs="Times New Roman"/>
                <w:color w:val="auto"/>
                <w:kern w:val="0"/>
                <w:lang w:eastAsia="zh-CN" w:bidi="ar"/>
              </w:rPr>
            </w:pPr>
            <w:r>
              <w:rPr>
                <w:rFonts w:hint="default" w:ascii="Times New Roman" w:hAnsi="Times New Roman" w:eastAsia="宋体" w:cs="Times New Roman"/>
                <w:color w:val="auto"/>
                <w:kern w:val="0"/>
                <w:lang w:val="en-US" w:eastAsia="zh-CN" w:bidi="ar"/>
              </w:rPr>
              <w:t>1</w:t>
            </w:r>
          </w:p>
        </w:tc>
        <w:tc>
          <w:tcPr>
            <w:tcW w:w="1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CAE826">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val="en-US" w:eastAsia="zh-CN" w:bidi="ar"/>
              </w:rPr>
              <w:t>4.17</w:t>
            </w:r>
            <w:r>
              <w:rPr>
                <w:rFonts w:ascii="Times New Roman" w:hAnsi="Times New Roman" w:eastAsia="宋体" w:cs="Times New Roman"/>
                <w:color w:val="auto"/>
                <w:kern w:val="0"/>
                <w:lang w:bidi="ar"/>
              </w:rPr>
              <w:t>%</w:t>
            </w:r>
          </w:p>
        </w:tc>
      </w:tr>
      <w:tr w14:paraId="7EF5505A">
        <w:tblPrEx>
          <w:tblCellMar>
            <w:top w:w="0" w:type="dxa"/>
            <w:left w:w="108" w:type="dxa"/>
            <w:bottom w:w="0" w:type="dxa"/>
            <w:right w:w="108" w:type="dxa"/>
          </w:tblCellMar>
        </w:tblPrEx>
        <w:trPr>
          <w:trHeight w:val="363" w:hRule="atLeast"/>
        </w:trPr>
        <w:tc>
          <w:tcPr>
            <w:tcW w:w="1668" w:type="pct"/>
            <w:tcBorders>
              <w:top w:val="single" w:color="000000" w:sz="4" w:space="0"/>
              <w:left w:val="single" w:color="000000" w:sz="4" w:space="0"/>
              <w:bottom w:val="single" w:color="000000" w:sz="4" w:space="0"/>
              <w:right w:val="single" w:color="000000" w:sz="4" w:space="0"/>
            </w:tcBorders>
            <w:shd w:val="clear" w:color="auto" w:fill="EEF6FA"/>
            <w:vAlign w:val="center"/>
          </w:tcPr>
          <w:p w14:paraId="5BA1C374">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ascii="Times New Roman" w:hAnsi="Times New Roman" w:eastAsia="宋体" w:cs="Times New Roman"/>
                <w:color w:val="auto"/>
                <w:kern w:val="0"/>
                <w:lang w:bidi="ar"/>
              </w:rPr>
              <w:t>高中</w:t>
            </w:r>
          </w:p>
        </w:tc>
        <w:tc>
          <w:tcPr>
            <w:tcW w:w="1720" w:type="pct"/>
            <w:tcBorders>
              <w:top w:val="single" w:color="000000" w:sz="4" w:space="0"/>
              <w:left w:val="single" w:color="000000" w:sz="4" w:space="0"/>
              <w:bottom w:val="single" w:color="000000" w:sz="4" w:space="0"/>
              <w:right w:val="single" w:color="000000" w:sz="4" w:space="0"/>
            </w:tcBorders>
            <w:shd w:val="clear" w:color="auto" w:fill="EEF6FA"/>
            <w:vAlign w:val="center"/>
          </w:tcPr>
          <w:p w14:paraId="1B1C0C26">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val="en-US" w:eastAsia="zh-CN" w:bidi="ar"/>
              </w:rPr>
              <w:t>3</w:t>
            </w:r>
            <w:r>
              <w:rPr>
                <w:rFonts w:ascii="Times New Roman" w:hAnsi="Times New Roman" w:eastAsia="宋体" w:cs="Times New Roman"/>
                <w:color w:val="auto"/>
                <w:kern w:val="0"/>
                <w:lang w:bidi="ar"/>
              </w:rPr>
              <w:t xml:space="preserve"> </w:t>
            </w:r>
          </w:p>
        </w:tc>
        <w:tc>
          <w:tcPr>
            <w:tcW w:w="1610" w:type="pct"/>
            <w:tcBorders>
              <w:top w:val="single" w:color="000000" w:sz="4" w:space="0"/>
              <w:left w:val="single" w:color="000000" w:sz="4" w:space="0"/>
              <w:bottom w:val="single" w:color="000000" w:sz="4" w:space="0"/>
              <w:right w:val="single" w:color="000000" w:sz="4" w:space="0"/>
            </w:tcBorders>
            <w:shd w:val="clear" w:color="auto" w:fill="EEF6FA"/>
            <w:vAlign w:val="center"/>
          </w:tcPr>
          <w:p w14:paraId="33557628">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val="en-US" w:eastAsia="zh-CN" w:bidi="ar"/>
              </w:rPr>
              <w:t>12.50</w:t>
            </w:r>
            <w:r>
              <w:rPr>
                <w:rFonts w:ascii="Times New Roman" w:hAnsi="Times New Roman" w:eastAsia="宋体" w:cs="Times New Roman"/>
                <w:color w:val="auto"/>
                <w:kern w:val="0"/>
                <w:lang w:bidi="ar"/>
              </w:rPr>
              <w:t>%</w:t>
            </w:r>
          </w:p>
        </w:tc>
      </w:tr>
      <w:tr w14:paraId="58382F7C">
        <w:tblPrEx>
          <w:tblCellMar>
            <w:top w:w="0" w:type="dxa"/>
            <w:left w:w="108" w:type="dxa"/>
            <w:bottom w:w="0" w:type="dxa"/>
            <w:right w:w="108" w:type="dxa"/>
          </w:tblCellMar>
        </w:tblPrEx>
        <w:trPr>
          <w:trHeight w:val="363" w:hRule="atLeast"/>
        </w:trPr>
        <w:tc>
          <w:tcPr>
            <w:tcW w:w="1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472601">
            <w:pPr>
              <w:widowControl/>
              <w:spacing w:line="240" w:lineRule="auto"/>
              <w:ind w:firstLine="0" w:firstLineChars="0"/>
              <w:jc w:val="left"/>
              <w:textAlignment w:val="center"/>
              <w:rPr>
                <w:rFonts w:hint="default" w:ascii="Times New Roman" w:hAnsi="Times New Roman" w:eastAsia="宋体" w:cs="Times New Roman"/>
                <w:color w:val="auto"/>
                <w:kern w:val="0"/>
                <w:lang w:eastAsia="zh-CN" w:bidi="ar"/>
              </w:rPr>
            </w:pPr>
            <w:r>
              <w:rPr>
                <w:rFonts w:hint="default" w:ascii="Times New Roman" w:hAnsi="Times New Roman" w:eastAsia="宋体" w:cs="Times New Roman"/>
                <w:color w:val="auto"/>
                <w:kern w:val="0"/>
                <w:lang w:val="en-US" w:eastAsia="zh-CN" w:bidi="ar"/>
              </w:rPr>
              <w:t>大学</w:t>
            </w:r>
          </w:p>
        </w:tc>
        <w:tc>
          <w:tcPr>
            <w:tcW w:w="17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E84A39">
            <w:pPr>
              <w:widowControl/>
              <w:spacing w:line="240" w:lineRule="auto"/>
              <w:ind w:firstLine="0" w:firstLineChars="0"/>
              <w:jc w:val="left"/>
              <w:textAlignment w:val="center"/>
              <w:rPr>
                <w:rFonts w:hint="default" w:ascii="Times New Roman" w:hAnsi="Times New Roman" w:eastAsia="宋体" w:cs="Times New Roman"/>
                <w:color w:val="auto"/>
                <w:kern w:val="0"/>
                <w:lang w:val="en-US" w:bidi="ar"/>
              </w:rPr>
            </w:pPr>
            <w:r>
              <w:rPr>
                <w:rFonts w:hint="default" w:ascii="Times New Roman" w:hAnsi="Times New Roman" w:eastAsia="宋体" w:cs="Times New Roman"/>
                <w:color w:val="auto"/>
                <w:kern w:val="0"/>
                <w:lang w:val="en-US" w:eastAsia="zh-CN" w:bidi="ar"/>
              </w:rPr>
              <w:t>20</w:t>
            </w:r>
          </w:p>
        </w:tc>
        <w:tc>
          <w:tcPr>
            <w:tcW w:w="1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C504D6">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val="en-US" w:eastAsia="zh-CN" w:bidi="ar"/>
              </w:rPr>
              <w:t>83.33</w:t>
            </w:r>
            <w:r>
              <w:rPr>
                <w:rFonts w:ascii="Times New Roman" w:hAnsi="Times New Roman" w:eastAsia="宋体" w:cs="Times New Roman"/>
                <w:color w:val="auto"/>
                <w:kern w:val="0"/>
                <w:lang w:bidi="ar"/>
              </w:rPr>
              <w:t>%</w:t>
            </w:r>
          </w:p>
        </w:tc>
      </w:tr>
      <w:tr w14:paraId="733E72F6">
        <w:tblPrEx>
          <w:tblCellMar>
            <w:top w:w="0" w:type="dxa"/>
            <w:left w:w="108" w:type="dxa"/>
            <w:bottom w:w="0" w:type="dxa"/>
            <w:right w:w="108" w:type="dxa"/>
          </w:tblCellMar>
        </w:tblPrEx>
        <w:trPr>
          <w:trHeight w:val="363" w:hRule="atLeast"/>
        </w:trPr>
        <w:tc>
          <w:tcPr>
            <w:tcW w:w="1668" w:type="pct"/>
            <w:tcBorders>
              <w:top w:val="single" w:color="000000" w:sz="4" w:space="0"/>
              <w:left w:val="single" w:color="000000" w:sz="4" w:space="0"/>
              <w:bottom w:val="single" w:color="000000" w:sz="4" w:space="0"/>
              <w:right w:val="single" w:color="000000" w:sz="4" w:space="0"/>
            </w:tcBorders>
            <w:shd w:val="clear" w:color="auto" w:fill="EEF6FA"/>
            <w:vAlign w:val="center"/>
          </w:tcPr>
          <w:p w14:paraId="42A63045">
            <w:pPr>
              <w:widowControl/>
              <w:spacing w:line="240" w:lineRule="auto"/>
              <w:ind w:firstLine="0" w:firstLineChars="0"/>
              <w:jc w:val="left"/>
              <w:textAlignment w:val="center"/>
              <w:rPr>
                <w:rFonts w:hint="default" w:ascii="Times New Roman" w:hAnsi="Times New Roman" w:eastAsia="宋体" w:cs="Times New Roman"/>
                <w:color w:val="auto"/>
                <w:kern w:val="0"/>
                <w:lang w:eastAsia="zh-CN" w:bidi="ar"/>
              </w:rPr>
            </w:pPr>
            <w:r>
              <w:rPr>
                <w:rFonts w:hint="default" w:ascii="Times New Roman" w:hAnsi="Times New Roman" w:eastAsia="宋体" w:cs="Times New Roman"/>
                <w:color w:val="auto"/>
                <w:kern w:val="0"/>
                <w:lang w:val="en-US" w:eastAsia="zh-CN" w:bidi="ar"/>
              </w:rPr>
              <w:t>研究生</w:t>
            </w:r>
          </w:p>
        </w:tc>
        <w:tc>
          <w:tcPr>
            <w:tcW w:w="1720" w:type="pct"/>
            <w:tcBorders>
              <w:top w:val="single" w:color="000000" w:sz="4" w:space="0"/>
              <w:left w:val="single" w:color="000000" w:sz="4" w:space="0"/>
              <w:bottom w:val="single" w:color="000000" w:sz="4" w:space="0"/>
              <w:right w:val="single" w:color="000000" w:sz="4" w:space="0"/>
            </w:tcBorders>
            <w:shd w:val="clear" w:color="auto" w:fill="EEF6FA"/>
            <w:vAlign w:val="center"/>
          </w:tcPr>
          <w:p w14:paraId="42C043AA">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val="en-US" w:eastAsia="zh-CN" w:bidi="ar"/>
              </w:rPr>
              <w:t>0</w:t>
            </w:r>
            <w:r>
              <w:rPr>
                <w:rFonts w:ascii="Times New Roman" w:hAnsi="Times New Roman" w:eastAsia="宋体" w:cs="Times New Roman"/>
                <w:color w:val="auto"/>
                <w:kern w:val="0"/>
                <w:lang w:bidi="ar"/>
              </w:rPr>
              <w:t xml:space="preserve"> </w:t>
            </w:r>
          </w:p>
        </w:tc>
        <w:tc>
          <w:tcPr>
            <w:tcW w:w="1610" w:type="pct"/>
            <w:tcBorders>
              <w:top w:val="single" w:color="000000" w:sz="4" w:space="0"/>
              <w:left w:val="single" w:color="000000" w:sz="4" w:space="0"/>
              <w:bottom w:val="single" w:color="000000" w:sz="4" w:space="0"/>
              <w:right w:val="single" w:color="000000" w:sz="4" w:space="0"/>
            </w:tcBorders>
            <w:shd w:val="clear" w:color="auto" w:fill="EEF6FA"/>
            <w:vAlign w:val="center"/>
          </w:tcPr>
          <w:p w14:paraId="47F801BA">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val="en-US" w:eastAsia="zh-CN" w:bidi="ar"/>
              </w:rPr>
              <w:t>0.00</w:t>
            </w:r>
            <w:r>
              <w:rPr>
                <w:rFonts w:ascii="Times New Roman" w:hAnsi="Times New Roman" w:eastAsia="宋体" w:cs="Times New Roman"/>
                <w:color w:val="auto"/>
                <w:kern w:val="0"/>
                <w:lang w:bidi="ar"/>
              </w:rPr>
              <w:t>%</w:t>
            </w:r>
          </w:p>
        </w:tc>
      </w:tr>
    </w:tbl>
    <w:p w14:paraId="6A3AEB4C">
      <w:pPr>
        <w:spacing w:line="360" w:lineRule="auto"/>
        <w:ind w:left="0" w:leftChars="0" w:firstLine="0" w:firstLineChars="0"/>
        <w:rPr>
          <w:rFonts w:ascii="Times New Roman" w:hAnsi="Times New Roman" w:cs="Times New Roman"/>
          <w:color w:val="auto"/>
        </w:rPr>
      </w:pPr>
      <w:r>
        <w:rPr>
          <w:rFonts w:hint="default" w:ascii="Times New Roman" w:hAnsi="Times New Roman" w:cs="Times New Roman"/>
          <w:color w:val="auto"/>
        </w:rPr>
        <w:t>（</w:t>
      </w:r>
      <w:r>
        <w:rPr>
          <w:rFonts w:hint="default" w:ascii="Times New Roman" w:hAnsi="Times New Roman" w:cs="Times New Roman"/>
          <w:color w:val="auto"/>
          <w:lang w:val="en-US" w:eastAsia="zh-CN"/>
        </w:rPr>
        <w:t>3</w:t>
      </w:r>
      <w:r>
        <w:rPr>
          <w:rFonts w:hint="default" w:ascii="Times New Roman" w:hAnsi="Times New Roman" w:cs="Times New Roman"/>
          <w:color w:val="auto"/>
        </w:rPr>
        <w:t>）</w:t>
      </w:r>
      <w:r>
        <w:rPr>
          <w:rFonts w:ascii="Times New Roman" w:hAnsi="Times New Roman" w:eastAsia="宋体" w:cs="Times New Roman"/>
          <w:color w:val="auto"/>
          <w:kern w:val="0"/>
          <w:lang w:bidi="ar"/>
        </w:rPr>
        <w:t>请问您已领取助学金几年？</w:t>
      </w:r>
    </w:p>
    <w:tbl>
      <w:tblPr>
        <w:tblStyle w:val="18"/>
        <w:tblW w:w="5001" w:type="pct"/>
        <w:tblInd w:w="-3" w:type="dxa"/>
        <w:tblLayout w:type="autofit"/>
        <w:tblCellMar>
          <w:top w:w="0" w:type="dxa"/>
          <w:left w:w="108" w:type="dxa"/>
          <w:bottom w:w="0" w:type="dxa"/>
          <w:right w:w="108" w:type="dxa"/>
        </w:tblCellMar>
      </w:tblPr>
      <w:tblGrid>
        <w:gridCol w:w="2841"/>
        <w:gridCol w:w="2931"/>
        <w:gridCol w:w="2752"/>
      </w:tblGrid>
      <w:tr w14:paraId="174CCA67">
        <w:tblPrEx>
          <w:tblCellMar>
            <w:top w:w="0" w:type="dxa"/>
            <w:left w:w="108" w:type="dxa"/>
            <w:bottom w:w="0" w:type="dxa"/>
            <w:right w:w="108" w:type="dxa"/>
          </w:tblCellMar>
        </w:tblPrEx>
        <w:trPr>
          <w:trHeight w:val="363" w:hRule="atLeast"/>
        </w:trPr>
        <w:tc>
          <w:tcPr>
            <w:tcW w:w="1666" w:type="pct"/>
            <w:tcBorders>
              <w:top w:val="single" w:color="000000" w:sz="4" w:space="0"/>
              <w:left w:val="single" w:color="000000" w:sz="4" w:space="0"/>
              <w:bottom w:val="single" w:color="000000" w:sz="4" w:space="0"/>
              <w:right w:val="single" w:color="000000" w:sz="4" w:space="0"/>
            </w:tcBorders>
            <w:shd w:val="clear" w:color="auto" w:fill="D8E5EC"/>
            <w:vAlign w:val="center"/>
          </w:tcPr>
          <w:p w14:paraId="1B892FE9">
            <w:pPr>
              <w:widowControl/>
              <w:spacing w:line="240" w:lineRule="auto"/>
              <w:ind w:firstLine="0" w:firstLineChars="0"/>
              <w:jc w:val="left"/>
              <w:textAlignment w:val="center"/>
              <w:rPr>
                <w:rFonts w:ascii="Times New Roman" w:hAnsi="Times New Roman" w:eastAsia="宋体" w:cs="Times New Roman"/>
                <w:b/>
                <w:bCs/>
                <w:color w:val="auto"/>
              </w:rPr>
            </w:pPr>
            <w:r>
              <w:rPr>
                <w:rFonts w:ascii="Times New Roman" w:hAnsi="Times New Roman" w:eastAsia="宋体" w:cs="Times New Roman"/>
                <w:b/>
                <w:bCs/>
                <w:color w:val="auto"/>
                <w:kern w:val="0"/>
                <w:lang w:bidi="ar"/>
              </w:rPr>
              <w:t>选项</w:t>
            </w:r>
          </w:p>
        </w:tc>
        <w:tc>
          <w:tcPr>
            <w:tcW w:w="1719" w:type="pct"/>
            <w:tcBorders>
              <w:top w:val="single" w:color="000000" w:sz="4" w:space="0"/>
              <w:left w:val="single" w:color="000000" w:sz="4" w:space="0"/>
              <w:bottom w:val="single" w:color="000000" w:sz="4" w:space="0"/>
              <w:right w:val="single" w:color="000000" w:sz="4" w:space="0"/>
            </w:tcBorders>
            <w:shd w:val="clear" w:color="auto" w:fill="D8E5EC"/>
            <w:vAlign w:val="center"/>
          </w:tcPr>
          <w:p w14:paraId="4E816726">
            <w:pPr>
              <w:widowControl/>
              <w:spacing w:line="240" w:lineRule="auto"/>
              <w:ind w:firstLine="0" w:firstLineChars="0"/>
              <w:jc w:val="left"/>
              <w:textAlignment w:val="center"/>
              <w:rPr>
                <w:rFonts w:ascii="Times New Roman" w:hAnsi="Times New Roman" w:eastAsia="宋体" w:cs="Times New Roman"/>
                <w:b/>
                <w:bCs/>
                <w:color w:val="auto"/>
              </w:rPr>
            </w:pPr>
            <w:r>
              <w:rPr>
                <w:rFonts w:ascii="Times New Roman" w:hAnsi="Times New Roman" w:eastAsia="宋体" w:cs="Times New Roman"/>
                <w:b/>
                <w:bCs/>
                <w:color w:val="auto"/>
                <w:kern w:val="0"/>
                <w:lang w:bidi="ar"/>
              </w:rPr>
              <w:t>反馈数量</w:t>
            </w:r>
          </w:p>
        </w:tc>
        <w:tc>
          <w:tcPr>
            <w:tcW w:w="1614" w:type="pct"/>
            <w:tcBorders>
              <w:top w:val="single" w:color="000000" w:sz="4" w:space="0"/>
              <w:left w:val="single" w:color="000000" w:sz="4" w:space="0"/>
              <w:bottom w:val="single" w:color="000000" w:sz="4" w:space="0"/>
              <w:right w:val="single" w:color="000000" w:sz="4" w:space="0"/>
            </w:tcBorders>
            <w:shd w:val="clear" w:color="auto" w:fill="D8E5EC"/>
            <w:vAlign w:val="center"/>
          </w:tcPr>
          <w:p w14:paraId="754A8309">
            <w:pPr>
              <w:widowControl/>
              <w:spacing w:line="240" w:lineRule="auto"/>
              <w:ind w:firstLine="0" w:firstLineChars="0"/>
              <w:jc w:val="left"/>
              <w:textAlignment w:val="center"/>
              <w:rPr>
                <w:rFonts w:ascii="Times New Roman" w:hAnsi="Times New Roman" w:eastAsia="宋体" w:cs="Times New Roman"/>
                <w:b/>
                <w:bCs/>
                <w:color w:val="auto"/>
              </w:rPr>
            </w:pPr>
            <w:r>
              <w:rPr>
                <w:rFonts w:ascii="Times New Roman" w:hAnsi="Times New Roman" w:eastAsia="宋体" w:cs="Times New Roman"/>
                <w:b/>
                <w:bCs/>
                <w:color w:val="auto"/>
                <w:kern w:val="0"/>
                <w:lang w:bidi="ar"/>
              </w:rPr>
              <w:t>占比</w:t>
            </w:r>
          </w:p>
        </w:tc>
      </w:tr>
      <w:tr w14:paraId="51F3BB99">
        <w:tblPrEx>
          <w:tblCellMar>
            <w:top w:w="0" w:type="dxa"/>
            <w:left w:w="108" w:type="dxa"/>
            <w:bottom w:w="0" w:type="dxa"/>
            <w:right w:w="108" w:type="dxa"/>
          </w:tblCellMar>
        </w:tblPrEx>
        <w:trPr>
          <w:trHeight w:val="363" w:hRule="atLeast"/>
        </w:trPr>
        <w:tc>
          <w:tcPr>
            <w:tcW w:w="16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F993A1">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ascii="Times New Roman" w:hAnsi="Times New Roman" w:eastAsia="宋体" w:cs="Times New Roman"/>
                <w:color w:val="auto"/>
                <w:kern w:val="0"/>
                <w:lang w:bidi="ar"/>
              </w:rPr>
              <w:t>一年</w:t>
            </w:r>
          </w:p>
        </w:tc>
        <w:tc>
          <w:tcPr>
            <w:tcW w:w="17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FAA9FB">
            <w:pPr>
              <w:widowControl/>
              <w:spacing w:line="240" w:lineRule="auto"/>
              <w:ind w:firstLine="0" w:firstLineChars="0"/>
              <w:jc w:val="left"/>
              <w:textAlignment w:val="center"/>
              <w:rPr>
                <w:rFonts w:hint="default" w:ascii="Times New Roman" w:hAnsi="Times New Roman" w:eastAsia="宋体" w:cs="Times New Roman"/>
                <w:color w:val="auto"/>
                <w:kern w:val="0"/>
                <w:lang w:eastAsia="zh-CN" w:bidi="ar"/>
              </w:rPr>
            </w:pPr>
            <w:r>
              <w:rPr>
                <w:rFonts w:hint="default" w:ascii="Times New Roman" w:hAnsi="Times New Roman" w:eastAsia="宋体" w:cs="Times New Roman"/>
                <w:color w:val="auto"/>
                <w:kern w:val="0"/>
                <w:lang w:val="en-US" w:eastAsia="zh-CN" w:bidi="ar"/>
              </w:rPr>
              <w:t>5</w:t>
            </w:r>
          </w:p>
        </w:tc>
        <w:tc>
          <w:tcPr>
            <w:tcW w:w="16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03BEAC">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val="en-US" w:eastAsia="zh-CN" w:bidi="ar"/>
              </w:rPr>
              <w:t>20.83</w:t>
            </w:r>
            <w:r>
              <w:rPr>
                <w:rFonts w:ascii="Times New Roman" w:hAnsi="Times New Roman" w:eastAsia="宋体" w:cs="Times New Roman"/>
                <w:color w:val="auto"/>
                <w:kern w:val="0"/>
                <w:lang w:bidi="ar"/>
              </w:rPr>
              <w:t>%</w:t>
            </w:r>
          </w:p>
        </w:tc>
      </w:tr>
      <w:tr w14:paraId="1AE2DD54">
        <w:tblPrEx>
          <w:tblCellMar>
            <w:top w:w="0" w:type="dxa"/>
            <w:left w:w="108" w:type="dxa"/>
            <w:bottom w:w="0" w:type="dxa"/>
            <w:right w:w="108" w:type="dxa"/>
          </w:tblCellMar>
        </w:tblPrEx>
        <w:trPr>
          <w:trHeight w:val="363" w:hRule="atLeast"/>
        </w:trPr>
        <w:tc>
          <w:tcPr>
            <w:tcW w:w="1666" w:type="pct"/>
            <w:tcBorders>
              <w:top w:val="single" w:color="000000" w:sz="4" w:space="0"/>
              <w:left w:val="single" w:color="000000" w:sz="4" w:space="0"/>
              <w:bottom w:val="single" w:color="000000" w:sz="4" w:space="0"/>
              <w:right w:val="single" w:color="000000" w:sz="4" w:space="0"/>
            </w:tcBorders>
            <w:shd w:val="clear" w:color="auto" w:fill="EEF6FA"/>
            <w:vAlign w:val="center"/>
          </w:tcPr>
          <w:p w14:paraId="60843662">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ascii="Times New Roman" w:hAnsi="Times New Roman" w:eastAsia="宋体" w:cs="Times New Roman"/>
                <w:color w:val="auto"/>
                <w:kern w:val="0"/>
                <w:lang w:bidi="ar"/>
              </w:rPr>
              <w:t>二年</w:t>
            </w:r>
          </w:p>
        </w:tc>
        <w:tc>
          <w:tcPr>
            <w:tcW w:w="1719" w:type="pct"/>
            <w:tcBorders>
              <w:top w:val="single" w:color="000000" w:sz="4" w:space="0"/>
              <w:left w:val="single" w:color="000000" w:sz="4" w:space="0"/>
              <w:bottom w:val="single" w:color="000000" w:sz="4" w:space="0"/>
              <w:right w:val="single" w:color="000000" w:sz="4" w:space="0"/>
            </w:tcBorders>
            <w:shd w:val="clear" w:color="auto" w:fill="EEF6FA"/>
            <w:vAlign w:val="center"/>
          </w:tcPr>
          <w:p w14:paraId="59934BF3">
            <w:pPr>
              <w:widowControl/>
              <w:spacing w:line="240" w:lineRule="auto"/>
              <w:ind w:firstLine="0" w:firstLineChars="0"/>
              <w:jc w:val="left"/>
              <w:textAlignment w:val="center"/>
              <w:rPr>
                <w:rFonts w:hint="default" w:ascii="Times New Roman" w:hAnsi="Times New Roman" w:eastAsia="宋体" w:cs="Times New Roman"/>
                <w:color w:val="auto"/>
                <w:kern w:val="0"/>
                <w:lang w:eastAsia="zh-CN" w:bidi="ar"/>
              </w:rPr>
            </w:pPr>
            <w:r>
              <w:rPr>
                <w:rFonts w:hint="default" w:ascii="Times New Roman" w:hAnsi="Times New Roman" w:eastAsia="宋体" w:cs="Times New Roman"/>
                <w:color w:val="auto"/>
                <w:kern w:val="0"/>
                <w:lang w:val="en-US" w:eastAsia="zh-CN" w:bidi="ar"/>
              </w:rPr>
              <w:t>8</w:t>
            </w:r>
          </w:p>
        </w:tc>
        <w:tc>
          <w:tcPr>
            <w:tcW w:w="1614" w:type="pct"/>
            <w:tcBorders>
              <w:top w:val="single" w:color="000000" w:sz="4" w:space="0"/>
              <w:left w:val="single" w:color="000000" w:sz="4" w:space="0"/>
              <w:bottom w:val="single" w:color="000000" w:sz="4" w:space="0"/>
              <w:right w:val="single" w:color="000000" w:sz="4" w:space="0"/>
            </w:tcBorders>
            <w:shd w:val="clear" w:color="auto" w:fill="EEF6FA"/>
            <w:vAlign w:val="center"/>
          </w:tcPr>
          <w:p w14:paraId="6F5A4AAE">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val="en-US" w:eastAsia="zh-CN" w:bidi="ar"/>
              </w:rPr>
              <w:t>33.33</w:t>
            </w:r>
            <w:r>
              <w:rPr>
                <w:rFonts w:ascii="Times New Roman" w:hAnsi="Times New Roman" w:eastAsia="宋体" w:cs="Times New Roman"/>
                <w:color w:val="auto"/>
                <w:kern w:val="0"/>
                <w:lang w:bidi="ar"/>
              </w:rPr>
              <w:t>%</w:t>
            </w:r>
          </w:p>
        </w:tc>
      </w:tr>
      <w:tr w14:paraId="08B3C1D1">
        <w:tblPrEx>
          <w:tblCellMar>
            <w:top w:w="0" w:type="dxa"/>
            <w:left w:w="108" w:type="dxa"/>
            <w:bottom w:w="0" w:type="dxa"/>
            <w:right w:w="108" w:type="dxa"/>
          </w:tblCellMar>
        </w:tblPrEx>
        <w:trPr>
          <w:trHeight w:val="363" w:hRule="atLeast"/>
        </w:trPr>
        <w:tc>
          <w:tcPr>
            <w:tcW w:w="16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3331F1">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ascii="Times New Roman" w:hAnsi="Times New Roman" w:eastAsia="宋体" w:cs="Times New Roman"/>
                <w:color w:val="auto"/>
                <w:kern w:val="0"/>
                <w:lang w:bidi="ar"/>
              </w:rPr>
              <w:t>三年</w:t>
            </w:r>
          </w:p>
        </w:tc>
        <w:tc>
          <w:tcPr>
            <w:tcW w:w="17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4D6C72">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val="en-US" w:eastAsia="zh-CN" w:bidi="ar"/>
              </w:rPr>
              <w:t>6</w:t>
            </w:r>
            <w:r>
              <w:rPr>
                <w:rFonts w:ascii="Times New Roman" w:hAnsi="Times New Roman" w:eastAsia="宋体" w:cs="Times New Roman"/>
                <w:color w:val="auto"/>
                <w:kern w:val="0"/>
                <w:lang w:bidi="ar"/>
              </w:rPr>
              <w:t xml:space="preserve"> </w:t>
            </w:r>
          </w:p>
        </w:tc>
        <w:tc>
          <w:tcPr>
            <w:tcW w:w="16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FAF9AA">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val="en-US" w:eastAsia="zh-CN" w:bidi="ar"/>
              </w:rPr>
              <w:t>25.00</w:t>
            </w:r>
            <w:r>
              <w:rPr>
                <w:rFonts w:ascii="Times New Roman" w:hAnsi="Times New Roman" w:eastAsia="宋体" w:cs="Times New Roman"/>
                <w:color w:val="auto"/>
                <w:kern w:val="0"/>
                <w:lang w:bidi="ar"/>
              </w:rPr>
              <w:t>%</w:t>
            </w:r>
          </w:p>
        </w:tc>
      </w:tr>
      <w:tr w14:paraId="47AB752A">
        <w:tblPrEx>
          <w:tblCellMar>
            <w:top w:w="0" w:type="dxa"/>
            <w:left w:w="108" w:type="dxa"/>
            <w:bottom w:w="0" w:type="dxa"/>
            <w:right w:w="108" w:type="dxa"/>
          </w:tblCellMar>
        </w:tblPrEx>
        <w:trPr>
          <w:trHeight w:val="363" w:hRule="atLeast"/>
        </w:trPr>
        <w:tc>
          <w:tcPr>
            <w:tcW w:w="1666" w:type="pct"/>
            <w:tcBorders>
              <w:top w:val="single" w:color="000000" w:sz="4" w:space="0"/>
              <w:left w:val="single" w:color="000000" w:sz="4" w:space="0"/>
              <w:bottom w:val="single" w:color="000000" w:sz="4" w:space="0"/>
              <w:right w:val="single" w:color="000000" w:sz="4" w:space="0"/>
            </w:tcBorders>
            <w:shd w:val="clear" w:color="auto" w:fill="EEF6FA"/>
            <w:vAlign w:val="center"/>
          </w:tcPr>
          <w:p w14:paraId="07BAD25B">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ascii="Times New Roman" w:hAnsi="Times New Roman" w:eastAsia="宋体" w:cs="Times New Roman"/>
                <w:color w:val="auto"/>
                <w:kern w:val="0"/>
                <w:lang w:bidi="ar"/>
              </w:rPr>
              <w:t>四年</w:t>
            </w:r>
          </w:p>
        </w:tc>
        <w:tc>
          <w:tcPr>
            <w:tcW w:w="1719" w:type="pct"/>
            <w:tcBorders>
              <w:top w:val="single" w:color="000000" w:sz="4" w:space="0"/>
              <w:left w:val="single" w:color="000000" w:sz="4" w:space="0"/>
              <w:bottom w:val="single" w:color="000000" w:sz="4" w:space="0"/>
              <w:right w:val="single" w:color="000000" w:sz="4" w:space="0"/>
            </w:tcBorders>
            <w:shd w:val="clear" w:color="auto" w:fill="EEF6FA"/>
            <w:vAlign w:val="center"/>
          </w:tcPr>
          <w:p w14:paraId="72A4A021">
            <w:pPr>
              <w:widowControl/>
              <w:spacing w:line="240" w:lineRule="auto"/>
              <w:ind w:firstLine="0" w:firstLineChars="0"/>
              <w:jc w:val="left"/>
              <w:textAlignment w:val="center"/>
              <w:rPr>
                <w:rFonts w:hint="default" w:ascii="Times New Roman" w:hAnsi="Times New Roman" w:eastAsia="宋体" w:cs="Times New Roman"/>
                <w:color w:val="auto"/>
                <w:kern w:val="0"/>
                <w:lang w:eastAsia="zh-CN" w:bidi="ar"/>
              </w:rPr>
            </w:pPr>
            <w:r>
              <w:rPr>
                <w:rFonts w:hint="default" w:ascii="Times New Roman" w:hAnsi="Times New Roman" w:eastAsia="宋体" w:cs="Times New Roman"/>
                <w:color w:val="auto"/>
                <w:kern w:val="0"/>
                <w:lang w:val="en-US" w:eastAsia="zh-CN" w:bidi="ar"/>
              </w:rPr>
              <w:t>5</w:t>
            </w:r>
          </w:p>
        </w:tc>
        <w:tc>
          <w:tcPr>
            <w:tcW w:w="1614" w:type="pct"/>
            <w:tcBorders>
              <w:top w:val="single" w:color="000000" w:sz="4" w:space="0"/>
              <w:left w:val="single" w:color="000000" w:sz="4" w:space="0"/>
              <w:bottom w:val="single" w:color="000000" w:sz="4" w:space="0"/>
              <w:right w:val="single" w:color="000000" w:sz="4" w:space="0"/>
            </w:tcBorders>
            <w:shd w:val="clear" w:color="auto" w:fill="EEF6FA"/>
            <w:vAlign w:val="center"/>
          </w:tcPr>
          <w:p w14:paraId="7693A314">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val="en-US" w:eastAsia="zh-CN" w:bidi="ar"/>
              </w:rPr>
              <w:t>20.83</w:t>
            </w:r>
            <w:r>
              <w:rPr>
                <w:rFonts w:ascii="Times New Roman" w:hAnsi="Times New Roman" w:eastAsia="宋体" w:cs="Times New Roman"/>
                <w:color w:val="auto"/>
                <w:kern w:val="0"/>
                <w:lang w:bidi="ar"/>
              </w:rPr>
              <w:t>%</w:t>
            </w:r>
          </w:p>
        </w:tc>
      </w:tr>
      <w:tr w14:paraId="50BE5B80">
        <w:tblPrEx>
          <w:tblCellMar>
            <w:top w:w="0" w:type="dxa"/>
            <w:left w:w="108" w:type="dxa"/>
            <w:bottom w:w="0" w:type="dxa"/>
            <w:right w:w="108" w:type="dxa"/>
          </w:tblCellMar>
        </w:tblPrEx>
        <w:trPr>
          <w:trHeight w:val="363" w:hRule="atLeast"/>
        </w:trPr>
        <w:tc>
          <w:tcPr>
            <w:tcW w:w="2841" w:type="dxa"/>
            <w:tcBorders>
              <w:top w:val="single" w:color="000000" w:sz="4" w:space="0"/>
              <w:left w:val="single" w:color="000000" w:sz="4" w:space="0"/>
              <w:bottom w:val="single" w:color="000000" w:sz="4" w:space="0"/>
              <w:right w:val="single" w:color="000000" w:sz="4" w:space="0"/>
            </w:tcBorders>
            <w:shd w:val="clear" w:color="auto" w:fill="EEF6FA"/>
            <w:vAlign w:val="center"/>
          </w:tcPr>
          <w:p w14:paraId="0CC9687E">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val="en-US" w:eastAsia="zh-CN" w:bidi="ar"/>
              </w:rPr>
              <w:t>五</w:t>
            </w:r>
            <w:r>
              <w:rPr>
                <w:rFonts w:ascii="Times New Roman" w:hAnsi="Times New Roman" w:eastAsia="宋体" w:cs="Times New Roman"/>
                <w:color w:val="auto"/>
                <w:kern w:val="0"/>
                <w:lang w:bidi="ar"/>
              </w:rPr>
              <w:t>年</w:t>
            </w:r>
          </w:p>
        </w:tc>
        <w:tc>
          <w:tcPr>
            <w:tcW w:w="2931" w:type="dxa"/>
            <w:tcBorders>
              <w:top w:val="single" w:color="000000" w:sz="4" w:space="0"/>
              <w:left w:val="single" w:color="000000" w:sz="4" w:space="0"/>
              <w:bottom w:val="single" w:color="000000" w:sz="4" w:space="0"/>
              <w:right w:val="single" w:color="000000" w:sz="4" w:space="0"/>
            </w:tcBorders>
            <w:shd w:val="clear" w:color="auto" w:fill="EEF6FA"/>
            <w:vAlign w:val="center"/>
          </w:tcPr>
          <w:p w14:paraId="27FF2E25">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val="en-US" w:eastAsia="zh-CN" w:bidi="ar"/>
              </w:rPr>
              <w:t>0</w:t>
            </w:r>
          </w:p>
        </w:tc>
        <w:tc>
          <w:tcPr>
            <w:tcW w:w="2752" w:type="dxa"/>
            <w:tcBorders>
              <w:top w:val="single" w:color="000000" w:sz="4" w:space="0"/>
              <w:left w:val="single" w:color="000000" w:sz="4" w:space="0"/>
              <w:bottom w:val="single" w:color="000000" w:sz="4" w:space="0"/>
              <w:right w:val="single" w:color="000000" w:sz="4" w:space="0"/>
            </w:tcBorders>
            <w:shd w:val="clear" w:color="auto" w:fill="EEF6FA"/>
            <w:vAlign w:val="center"/>
          </w:tcPr>
          <w:p w14:paraId="7A05F948">
            <w:pPr>
              <w:widowControl/>
              <w:spacing w:line="240" w:lineRule="auto"/>
              <w:ind w:firstLine="0" w:firstLineChars="0"/>
              <w:jc w:val="left"/>
              <w:textAlignment w:val="center"/>
              <w:rPr>
                <w:rFonts w:hint="default" w:ascii="Times New Roman" w:hAnsi="Times New Roman" w:eastAsia="宋体" w:cs="Times New Roman"/>
                <w:color w:val="auto"/>
                <w:kern w:val="0"/>
                <w:lang w:val="en-US" w:eastAsia="zh-CN" w:bidi="ar"/>
              </w:rPr>
            </w:pPr>
            <w:r>
              <w:rPr>
                <w:rFonts w:hint="default" w:ascii="Times New Roman" w:hAnsi="Times New Roman" w:eastAsia="宋体" w:cs="Times New Roman"/>
                <w:color w:val="auto"/>
                <w:kern w:val="0"/>
                <w:lang w:val="en-US" w:eastAsia="zh-CN" w:bidi="ar"/>
              </w:rPr>
              <w:t>0.00</w:t>
            </w:r>
            <w:r>
              <w:rPr>
                <w:rFonts w:ascii="Times New Roman" w:hAnsi="Times New Roman" w:eastAsia="宋体" w:cs="Times New Roman"/>
                <w:color w:val="auto"/>
                <w:kern w:val="0"/>
                <w:lang w:bidi="ar"/>
              </w:rPr>
              <w:t>%</w:t>
            </w:r>
          </w:p>
        </w:tc>
      </w:tr>
    </w:tbl>
    <w:p w14:paraId="0EB6A883">
      <w:pPr>
        <w:spacing w:line="360" w:lineRule="auto"/>
        <w:ind w:left="0" w:leftChars="0" w:firstLine="0" w:firstLineChars="0"/>
        <w:jc w:val="left"/>
        <w:rPr>
          <w:rFonts w:ascii="Times New Roman" w:hAnsi="Times New Roman" w:cs="Times New Roman"/>
          <w:color w:val="auto"/>
        </w:rPr>
      </w:pPr>
      <w:r>
        <w:rPr>
          <w:rFonts w:hint="default" w:ascii="Times New Roman" w:hAnsi="Times New Roman" w:cs="Times New Roman"/>
          <w:color w:val="auto"/>
        </w:rPr>
        <w:t>（4）</w:t>
      </w:r>
      <w:r>
        <w:rPr>
          <w:rFonts w:hint="default" w:ascii="Times New Roman" w:hAnsi="Times New Roman" w:cs="Times New Roman"/>
          <w:color w:val="auto"/>
          <w:lang w:val="en-US" w:eastAsia="zh-CN"/>
        </w:rPr>
        <w:t>您了解“福彩圆梦 孤儿助学”项目的具体内容和申请流程吗</w:t>
      </w:r>
      <w:r>
        <w:rPr>
          <w:rFonts w:hint="default" w:ascii="Times New Roman" w:hAnsi="Times New Roman" w:cs="Times New Roman"/>
          <w:color w:val="auto"/>
        </w:rPr>
        <w:t>？</w:t>
      </w:r>
    </w:p>
    <w:tbl>
      <w:tblPr>
        <w:tblStyle w:val="18"/>
        <w:tblW w:w="5001" w:type="pct"/>
        <w:tblInd w:w="-3" w:type="dxa"/>
        <w:tblLayout w:type="autofit"/>
        <w:tblCellMar>
          <w:top w:w="0" w:type="dxa"/>
          <w:left w:w="108" w:type="dxa"/>
          <w:bottom w:w="0" w:type="dxa"/>
          <w:right w:w="108" w:type="dxa"/>
        </w:tblCellMar>
      </w:tblPr>
      <w:tblGrid>
        <w:gridCol w:w="2841"/>
        <w:gridCol w:w="2931"/>
        <w:gridCol w:w="2752"/>
      </w:tblGrid>
      <w:tr w14:paraId="1CB5EA1B">
        <w:tblPrEx>
          <w:tblCellMar>
            <w:top w:w="0" w:type="dxa"/>
            <w:left w:w="108" w:type="dxa"/>
            <w:bottom w:w="0" w:type="dxa"/>
            <w:right w:w="108" w:type="dxa"/>
          </w:tblCellMar>
        </w:tblPrEx>
        <w:trPr>
          <w:trHeight w:val="363" w:hRule="atLeast"/>
        </w:trPr>
        <w:tc>
          <w:tcPr>
            <w:tcW w:w="1666" w:type="pct"/>
            <w:tcBorders>
              <w:top w:val="single" w:color="000000" w:sz="4" w:space="0"/>
              <w:left w:val="single" w:color="000000" w:sz="4" w:space="0"/>
              <w:bottom w:val="single" w:color="000000" w:sz="4" w:space="0"/>
              <w:right w:val="single" w:color="000000" w:sz="4" w:space="0"/>
            </w:tcBorders>
            <w:shd w:val="clear" w:color="auto" w:fill="D8E5EC"/>
            <w:vAlign w:val="center"/>
          </w:tcPr>
          <w:p w14:paraId="0DBA87B6">
            <w:pPr>
              <w:widowControl/>
              <w:spacing w:line="240" w:lineRule="auto"/>
              <w:ind w:firstLine="0" w:firstLineChars="0"/>
              <w:jc w:val="left"/>
              <w:textAlignment w:val="center"/>
              <w:rPr>
                <w:rFonts w:ascii="Times New Roman" w:hAnsi="Times New Roman" w:eastAsia="宋体" w:cs="Times New Roman"/>
                <w:b/>
                <w:bCs/>
                <w:color w:val="auto"/>
              </w:rPr>
            </w:pPr>
            <w:r>
              <w:rPr>
                <w:rFonts w:ascii="Times New Roman" w:hAnsi="Times New Roman" w:eastAsia="宋体" w:cs="Times New Roman"/>
                <w:b/>
                <w:bCs/>
                <w:color w:val="auto"/>
                <w:kern w:val="0"/>
                <w:lang w:bidi="ar"/>
              </w:rPr>
              <w:t>选项</w:t>
            </w:r>
          </w:p>
        </w:tc>
        <w:tc>
          <w:tcPr>
            <w:tcW w:w="1719" w:type="pct"/>
            <w:tcBorders>
              <w:top w:val="single" w:color="000000" w:sz="4" w:space="0"/>
              <w:left w:val="single" w:color="000000" w:sz="4" w:space="0"/>
              <w:bottom w:val="single" w:color="000000" w:sz="4" w:space="0"/>
              <w:right w:val="single" w:color="000000" w:sz="4" w:space="0"/>
            </w:tcBorders>
            <w:shd w:val="clear" w:color="auto" w:fill="D8E5EC"/>
            <w:vAlign w:val="center"/>
          </w:tcPr>
          <w:p w14:paraId="0529FB2A">
            <w:pPr>
              <w:widowControl/>
              <w:spacing w:line="240" w:lineRule="auto"/>
              <w:ind w:firstLine="0" w:firstLineChars="0"/>
              <w:jc w:val="left"/>
              <w:textAlignment w:val="center"/>
              <w:rPr>
                <w:rFonts w:ascii="Times New Roman" w:hAnsi="Times New Roman" w:eastAsia="宋体" w:cs="Times New Roman"/>
                <w:b/>
                <w:bCs/>
                <w:color w:val="auto"/>
              </w:rPr>
            </w:pPr>
            <w:r>
              <w:rPr>
                <w:rFonts w:ascii="Times New Roman" w:hAnsi="Times New Roman" w:eastAsia="宋体" w:cs="Times New Roman"/>
                <w:b/>
                <w:bCs/>
                <w:color w:val="auto"/>
                <w:kern w:val="0"/>
                <w:lang w:bidi="ar"/>
              </w:rPr>
              <w:t>反馈数量</w:t>
            </w:r>
          </w:p>
        </w:tc>
        <w:tc>
          <w:tcPr>
            <w:tcW w:w="1614" w:type="pct"/>
            <w:tcBorders>
              <w:top w:val="single" w:color="000000" w:sz="4" w:space="0"/>
              <w:left w:val="single" w:color="000000" w:sz="4" w:space="0"/>
              <w:bottom w:val="single" w:color="000000" w:sz="4" w:space="0"/>
              <w:right w:val="single" w:color="000000" w:sz="4" w:space="0"/>
            </w:tcBorders>
            <w:shd w:val="clear" w:color="auto" w:fill="D8E5EC"/>
            <w:vAlign w:val="center"/>
          </w:tcPr>
          <w:p w14:paraId="680D127C">
            <w:pPr>
              <w:widowControl/>
              <w:spacing w:line="240" w:lineRule="auto"/>
              <w:ind w:firstLine="0" w:firstLineChars="0"/>
              <w:jc w:val="left"/>
              <w:textAlignment w:val="center"/>
              <w:rPr>
                <w:rFonts w:ascii="Times New Roman" w:hAnsi="Times New Roman" w:eastAsia="宋体" w:cs="Times New Roman"/>
                <w:b/>
                <w:bCs/>
                <w:color w:val="auto"/>
              </w:rPr>
            </w:pPr>
            <w:r>
              <w:rPr>
                <w:rFonts w:ascii="Times New Roman" w:hAnsi="Times New Roman" w:eastAsia="宋体" w:cs="Times New Roman"/>
                <w:b/>
                <w:bCs/>
                <w:color w:val="auto"/>
                <w:kern w:val="0"/>
                <w:lang w:bidi="ar"/>
              </w:rPr>
              <w:t>占比</w:t>
            </w:r>
          </w:p>
        </w:tc>
      </w:tr>
      <w:tr w14:paraId="3349AE5F">
        <w:tblPrEx>
          <w:tblCellMar>
            <w:top w:w="0" w:type="dxa"/>
            <w:left w:w="108" w:type="dxa"/>
            <w:bottom w:w="0" w:type="dxa"/>
            <w:right w:w="108" w:type="dxa"/>
          </w:tblCellMar>
        </w:tblPrEx>
        <w:trPr>
          <w:trHeight w:val="363" w:hRule="atLeast"/>
        </w:trPr>
        <w:tc>
          <w:tcPr>
            <w:tcW w:w="2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ECCF3">
            <w:pPr>
              <w:widowControl/>
              <w:spacing w:line="240" w:lineRule="auto"/>
              <w:ind w:firstLine="0" w:firstLineChars="0"/>
              <w:jc w:val="left"/>
              <w:textAlignment w:val="center"/>
              <w:rPr>
                <w:rFonts w:hint="default" w:ascii="Times New Roman" w:hAnsi="Times New Roman" w:eastAsia="宋体" w:cs="Times New Roman"/>
                <w:color w:val="auto"/>
                <w:kern w:val="0"/>
                <w:lang w:val="en-US" w:eastAsia="zh-CN" w:bidi="ar"/>
              </w:rPr>
            </w:pPr>
            <w:r>
              <w:rPr>
                <w:rFonts w:hint="default" w:ascii="Times New Roman" w:hAnsi="Times New Roman" w:eastAsia="宋体" w:cs="Times New Roman"/>
                <w:color w:val="auto"/>
                <w:kern w:val="0"/>
                <w:lang w:bidi="ar"/>
              </w:rPr>
              <w:t>非常</w:t>
            </w:r>
            <w:r>
              <w:rPr>
                <w:rFonts w:hint="default" w:ascii="Times New Roman" w:hAnsi="Times New Roman" w:eastAsia="宋体" w:cs="Times New Roman"/>
                <w:color w:val="auto"/>
                <w:kern w:val="0"/>
                <w:lang w:val="en-US" w:eastAsia="zh-CN" w:bidi="ar"/>
              </w:rPr>
              <w:t>了解</w:t>
            </w:r>
          </w:p>
        </w:tc>
        <w:tc>
          <w:tcPr>
            <w:tcW w:w="2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4A7A6">
            <w:pPr>
              <w:widowControl/>
              <w:spacing w:line="240" w:lineRule="auto"/>
              <w:ind w:firstLine="0" w:firstLineChars="0"/>
              <w:jc w:val="left"/>
              <w:textAlignment w:val="center"/>
              <w:rPr>
                <w:rFonts w:hint="default" w:ascii="Times New Roman" w:hAnsi="Times New Roman" w:eastAsia="宋体" w:cs="Times New Roman"/>
                <w:color w:val="auto"/>
                <w:kern w:val="0"/>
                <w:lang w:val="en-US" w:eastAsia="zh-CN" w:bidi="ar"/>
              </w:rPr>
            </w:pPr>
            <w:r>
              <w:rPr>
                <w:rFonts w:hint="default" w:ascii="Times New Roman" w:hAnsi="Times New Roman" w:eastAsia="宋体" w:cs="Times New Roman"/>
                <w:color w:val="auto"/>
                <w:kern w:val="0"/>
                <w:lang w:val="en-US" w:eastAsia="zh-CN" w:bidi="ar"/>
              </w:rPr>
              <w:t>18</w:t>
            </w:r>
          </w:p>
        </w:tc>
        <w:tc>
          <w:tcPr>
            <w:tcW w:w="2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58170">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val="en-US" w:eastAsia="zh-CN" w:bidi="ar"/>
              </w:rPr>
              <w:t>75</w:t>
            </w:r>
            <w:r>
              <w:rPr>
                <w:rFonts w:hint="default" w:ascii="Times New Roman" w:hAnsi="Times New Roman" w:eastAsia="宋体" w:cs="Times New Roman"/>
                <w:color w:val="auto"/>
                <w:kern w:val="0"/>
                <w:lang w:bidi="ar"/>
              </w:rPr>
              <w:t>%</w:t>
            </w:r>
          </w:p>
        </w:tc>
      </w:tr>
      <w:tr w14:paraId="0A61C53B">
        <w:tblPrEx>
          <w:tblCellMar>
            <w:top w:w="0" w:type="dxa"/>
            <w:left w:w="108" w:type="dxa"/>
            <w:bottom w:w="0" w:type="dxa"/>
            <w:right w:w="108" w:type="dxa"/>
          </w:tblCellMar>
        </w:tblPrEx>
        <w:trPr>
          <w:trHeight w:val="363" w:hRule="atLeast"/>
        </w:trPr>
        <w:tc>
          <w:tcPr>
            <w:tcW w:w="2841" w:type="dxa"/>
            <w:tcBorders>
              <w:top w:val="single" w:color="000000" w:sz="4" w:space="0"/>
              <w:left w:val="single" w:color="000000" w:sz="4" w:space="0"/>
              <w:bottom w:val="single" w:color="000000" w:sz="4" w:space="0"/>
              <w:right w:val="single" w:color="000000" w:sz="4" w:space="0"/>
            </w:tcBorders>
            <w:shd w:val="clear" w:color="auto" w:fill="EEF6FA"/>
            <w:vAlign w:val="center"/>
          </w:tcPr>
          <w:p w14:paraId="71EF682C">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bidi="ar"/>
              </w:rPr>
              <w:t>比较</w:t>
            </w:r>
            <w:r>
              <w:rPr>
                <w:rFonts w:hint="default" w:ascii="Times New Roman" w:hAnsi="Times New Roman" w:eastAsia="宋体" w:cs="Times New Roman"/>
                <w:color w:val="auto"/>
                <w:kern w:val="0"/>
                <w:lang w:val="en-US" w:eastAsia="zh-CN" w:bidi="ar"/>
              </w:rPr>
              <w:t>了解</w:t>
            </w:r>
          </w:p>
        </w:tc>
        <w:tc>
          <w:tcPr>
            <w:tcW w:w="2931" w:type="dxa"/>
            <w:tcBorders>
              <w:top w:val="single" w:color="000000" w:sz="4" w:space="0"/>
              <w:left w:val="single" w:color="000000" w:sz="4" w:space="0"/>
              <w:bottom w:val="single" w:color="000000" w:sz="4" w:space="0"/>
              <w:right w:val="single" w:color="000000" w:sz="4" w:space="0"/>
            </w:tcBorders>
            <w:shd w:val="clear" w:color="auto" w:fill="EEF6FA"/>
            <w:vAlign w:val="center"/>
          </w:tcPr>
          <w:p w14:paraId="24D7EBF9">
            <w:pPr>
              <w:widowControl/>
              <w:spacing w:line="240" w:lineRule="auto"/>
              <w:ind w:firstLine="0" w:firstLineChars="0"/>
              <w:jc w:val="left"/>
              <w:textAlignment w:val="center"/>
              <w:rPr>
                <w:rFonts w:hint="default" w:ascii="Times New Roman" w:hAnsi="Times New Roman" w:eastAsia="宋体" w:cs="Times New Roman"/>
                <w:color w:val="auto"/>
                <w:kern w:val="0"/>
                <w:lang w:eastAsia="zh-CN" w:bidi="ar"/>
              </w:rPr>
            </w:pPr>
            <w:r>
              <w:rPr>
                <w:rFonts w:hint="default" w:ascii="Times New Roman" w:hAnsi="Times New Roman" w:eastAsia="宋体" w:cs="Times New Roman"/>
                <w:color w:val="auto"/>
                <w:kern w:val="0"/>
                <w:lang w:val="en-US" w:eastAsia="zh-CN" w:bidi="ar"/>
              </w:rPr>
              <w:t>3</w:t>
            </w:r>
          </w:p>
        </w:tc>
        <w:tc>
          <w:tcPr>
            <w:tcW w:w="2752" w:type="dxa"/>
            <w:tcBorders>
              <w:top w:val="single" w:color="000000" w:sz="4" w:space="0"/>
              <w:left w:val="single" w:color="000000" w:sz="4" w:space="0"/>
              <w:bottom w:val="single" w:color="000000" w:sz="4" w:space="0"/>
              <w:right w:val="single" w:color="000000" w:sz="4" w:space="0"/>
            </w:tcBorders>
            <w:shd w:val="clear" w:color="auto" w:fill="EEF6FA"/>
            <w:vAlign w:val="center"/>
          </w:tcPr>
          <w:p w14:paraId="7C5F132C">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val="en-US" w:eastAsia="zh-CN" w:bidi="ar"/>
              </w:rPr>
              <w:t>12.57</w:t>
            </w:r>
            <w:r>
              <w:rPr>
                <w:rFonts w:hint="default" w:ascii="Times New Roman" w:hAnsi="Times New Roman" w:eastAsia="宋体" w:cs="Times New Roman"/>
                <w:color w:val="auto"/>
                <w:kern w:val="0"/>
                <w:lang w:bidi="ar"/>
              </w:rPr>
              <w:t>%</w:t>
            </w:r>
          </w:p>
        </w:tc>
      </w:tr>
      <w:tr w14:paraId="28152622">
        <w:tblPrEx>
          <w:tblCellMar>
            <w:top w:w="0" w:type="dxa"/>
            <w:left w:w="108" w:type="dxa"/>
            <w:bottom w:w="0" w:type="dxa"/>
            <w:right w:w="108" w:type="dxa"/>
          </w:tblCellMar>
        </w:tblPrEx>
        <w:trPr>
          <w:trHeight w:val="363" w:hRule="atLeast"/>
        </w:trPr>
        <w:tc>
          <w:tcPr>
            <w:tcW w:w="2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65A07">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bidi="ar"/>
              </w:rPr>
              <w:t>一般</w:t>
            </w:r>
            <w:r>
              <w:rPr>
                <w:rFonts w:hint="default" w:ascii="Times New Roman" w:hAnsi="Times New Roman" w:eastAsia="宋体" w:cs="Times New Roman"/>
                <w:color w:val="auto"/>
                <w:kern w:val="0"/>
                <w:lang w:val="en-US" w:eastAsia="zh-CN" w:bidi="ar"/>
              </w:rPr>
              <w:t>了解</w:t>
            </w:r>
          </w:p>
        </w:tc>
        <w:tc>
          <w:tcPr>
            <w:tcW w:w="2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2856C">
            <w:pPr>
              <w:widowControl/>
              <w:spacing w:line="240" w:lineRule="auto"/>
              <w:ind w:firstLine="0" w:firstLineChars="0"/>
              <w:jc w:val="left"/>
              <w:textAlignment w:val="center"/>
              <w:rPr>
                <w:rFonts w:hint="default" w:ascii="Times New Roman" w:hAnsi="Times New Roman" w:eastAsia="宋体" w:cs="Times New Roman"/>
                <w:color w:val="auto"/>
                <w:kern w:val="0"/>
                <w:lang w:eastAsia="zh-CN" w:bidi="ar"/>
              </w:rPr>
            </w:pPr>
            <w:r>
              <w:rPr>
                <w:rFonts w:hint="default" w:ascii="Times New Roman" w:hAnsi="Times New Roman" w:eastAsia="宋体" w:cs="Times New Roman"/>
                <w:color w:val="auto"/>
                <w:kern w:val="0"/>
                <w:lang w:val="en-US" w:eastAsia="zh-CN" w:bidi="ar"/>
              </w:rPr>
              <w:t>2</w:t>
            </w:r>
          </w:p>
        </w:tc>
        <w:tc>
          <w:tcPr>
            <w:tcW w:w="2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58B64">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val="en-US" w:eastAsia="zh-CN" w:bidi="ar"/>
              </w:rPr>
              <w:t>8.33</w:t>
            </w:r>
            <w:r>
              <w:rPr>
                <w:rFonts w:hint="default" w:ascii="Times New Roman" w:hAnsi="Times New Roman" w:eastAsia="宋体" w:cs="Times New Roman"/>
                <w:color w:val="auto"/>
                <w:kern w:val="0"/>
                <w:lang w:bidi="ar"/>
              </w:rPr>
              <w:t>%</w:t>
            </w:r>
          </w:p>
        </w:tc>
      </w:tr>
      <w:tr w14:paraId="3A1EB4D5">
        <w:tblPrEx>
          <w:tblCellMar>
            <w:top w:w="0" w:type="dxa"/>
            <w:left w:w="108" w:type="dxa"/>
            <w:bottom w:w="0" w:type="dxa"/>
            <w:right w:w="108" w:type="dxa"/>
          </w:tblCellMar>
        </w:tblPrEx>
        <w:trPr>
          <w:trHeight w:val="363" w:hRule="atLeast"/>
        </w:trPr>
        <w:tc>
          <w:tcPr>
            <w:tcW w:w="2841" w:type="dxa"/>
            <w:tcBorders>
              <w:top w:val="single" w:color="000000" w:sz="4" w:space="0"/>
              <w:left w:val="single" w:color="000000" w:sz="4" w:space="0"/>
              <w:bottom w:val="single" w:color="000000" w:sz="4" w:space="0"/>
              <w:right w:val="single" w:color="000000" w:sz="4" w:space="0"/>
            </w:tcBorders>
            <w:shd w:val="clear" w:color="auto" w:fill="EEF6FA"/>
            <w:vAlign w:val="center"/>
          </w:tcPr>
          <w:p w14:paraId="37AC4803">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bidi="ar"/>
              </w:rPr>
              <w:t>不</w:t>
            </w:r>
            <w:r>
              <w:rPr>
                <w:rFonts w:hint="default" w:ascii="Times New Roman" w:hAnsi="Times New Roman" w:eastAsia="宋体" w:cs="Times New Roman"/>
                <w:color w:val="auto"/>
                <w:kern w:val="0"/>
                <w:lang w:val="en-US" w:eastAsia="zh-CN" w:bidi="ar"/>
              </w:rPr>
              <w:t>了解</w:t>
            </w:r>
          </w:p>
        </w:tc>
        <w:tc>
          <w:tcPr>
            <w:tcW w:w="2931" w:type="dxa"/>
            <w:tcBorders>
              <w:top w:val="single" w:color="000000" w:sz="4" w:space="0"/>
              <w:left w:val="single" w:color="000000" w:sz="4" w:space="0"/>
              <w:bottom w:val="single" w:color="000000" w:sz="4" w:space="0"/>
              <w:right w:val="single" w:color="000000" w:sz="4" w:space="0"/>
            </w:tcBorders>
            <w:shd w:val="clear" w:color="auto" w:fill="EEF6FA"/>
            <w:vAlign w:val="center"/>
          </w:tcPr>
          <w:p w14:paraId="31F4DD57">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val="en-US" w:eastAsia="zh-CN" w:bidi="ar"/>
              </w:rPr>
              <w:t>1</w:t>
            </w:r>
            <w:r>
              <w:rPr>
                <w:rFonts w:hint="default" w:ascii="Times New Roman" w:hAnsi="Times New Roman" w:eastAsia="宋体" w:cs="Times New Roman"/>
                <w:color w:val="auto"/>
                <w:kern w:val="0"/>
                <w:lang w:bidi="ar"/>
              </w:rPr>
              <w:t xml:space="preserve"> </w:t>
            </w:r>
          </w:p>
        </w:tc>
        <w:tc>
          <w:tcPr>
            <w:tcW w:w="2752" w:type="dxa"/>
            <w:tcBorders>
              <w:top w:val="single" w:color="000000" w:sz="4" w:space="0"/>
              <w:left w:val="single" w:color="000000" w:sz="4" w:space="0"/>
              <w:bottom w:val="single" w:color="000000" w:sz="4" w:space="0"/>
              <w:right w:val="single" w:color="000000" w:sz="4" w:space="0"/>
            </w:tcBorders>
            <w:shd w:val="clear" w:color="auto" w:fill="EEF6FA"/>
            <w:vAlign w:val="center"/>
          </w:tcPr>
          <w:p w14:paraId="62716FBD">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val="en-US" w:eastAsia="zh-CN" w:bidi="ar"/>
              </w:rPr>
              <w:t>4.17</w:t>
            </w:r>
            <w:r>
              <w:rPr>
                <w:rFonts w:hint="default" w:ascii="Times New Roman" w:hAnsi="Times New Roman" w:eastAsia="宋体" w:cs="Times New Roman"/>
                <w:color w:val="auto"/>
                <w:kern w:val="0"/>
                <w:lang w:bidi="ar"/>
              </w:rPr>
              <w:t>%</w:t>
            </w:r>
          </w:p>
        </w:tc>
      </w:tr>
      <w:tr w14:paraId="6A83E707">
        <w:tblPrEx>
          <w:tblCellMar>
            <w:top w:w="0" w:type="dxa"/>
            <w:left w:w="108" w:type="dxa"/>
            <w:bottom w:w="0" w:type="dxa"/>
            <w:right w:w="108" w:type="dxa"/>
          </w:tblCellMar>
        </w:tblPrEx>
        <w:trPr>
          <w:trHeight w:val="363" w:hRule="atLeast"/>
        </w:trPr>
        <w:tc>
          <w:tcPr>
            <w:tcW w:w="2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B3349">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val="en-US" w:eastAsia="zh-CN" w:bidi="ar"/>
              </w:rPr>
              <w:t>非常</w:t>
            </w:r>
            <w:r>
              <w:rPr>
                <w:rFonts w:hint="default" w:ascii="Times New Roman" w:hAnsi="Times New Roman" w:eastAsia="宋体" w:cs="Times New Roman"/>
                <w:color w:val="auto"/>
                <w:kern w:val="0"/>
                <w:lang w:bidi="ar"/>
              </w:rPr>
              <w:t>不</w:t>
            </w:r>
            <w:r>
              <w:rPr>
                <w:rFonts w:hint="default" w:ascii="Times New Roman" w:hAnsi="Times New Roman" w:eastAsia="宋体" w:cs="Times New Roman"/>
                <w:color w:val="auto"/>
                <w:kern w:val="0"/>
                <w:lang w:val="en-US" w:eastAsia="zh-CN" w:bidi="ar"/>
              </w:rPr>
              <w:t>了解</w:t>
            </w:r>
          </w:p>
        </w:tc>
        <w:tc>
          <w:tcPr>
            <w:tcW w:w="2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9688D">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bidi="ar"/>
              </w:rPr>
              <w:t xml:space="preserve">0 </w:t>
            </w:r>
          </w:p>
        </w:tc>
        <w:tc>
          <w:tcPr>
            <w:tcW w:w="2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67FEB">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bidi="ar"/>
              </w:rPr>
              <w:t>0.0%</w:t>
            </w:r>
          </w:p>
        </w:tc>
      </w:tr>
    </w:tbl>
    <w:p w14:paraId="1FFB33AC">
      <w:pPr>
        <w:spacing w:line="360" w:lineRule="auto"/>
        <w:ind w:left="0" w:leftChars="0" w:firstLine="0" w:firstLineChars="0"/>
        <w:jc w:val="left"/>
        <w:rPr>
          <w:rFonts w:ascii="Times New Roman" w:hAnsi="Times New Roman" w:cs="Times New Roman"/>
          <w:color w:val="auto"/>
        </w:rPr>
      </w:pPr>
      <w:r>
        <w:rPr>
          <w:rFonts w:ascii="Times New Roman" w:hAnsi="Times New Roman" w:eastAsia="宋体" w:cs="Times New Roman"/>
          <w:color w:val="auto"/>
          <w:kern w:val="0"/>
          <w:lang w:bidi="ar"/>
        </w:rPr>
        <w:t>（</w:t>
      </w:r>
      <w:r>
        <w:rPr>
          <w:rFonts w:hint="default" w:ascii="Times New Roman" w:hAnsi="Times New Roman" w:eastAsia="宋体" w:cs="Times New Roman"/>
          <w:color w:val="auto"/>
          <w:kern w:val="0"/>
          <w:lang w:val="en-US" w:eastAsia="zh-CN" w:bidi="ar"/>
        </w:rPr>
        <w:t>5</w:t>
      </w:r>
      <w:r>
        <w:rPr>
          <w:rFonts w:ascii="Times New Roman" w:hAnsi="Times New Roman" w:eastAsia="宋体" w:cs="Times New Roman"/>
          <w:color w:val="auto"/>
          <w:kern w:val="0"/>
          <w:lang w:bidi="ar"/>
        </w:rPr>
        <w:t>）请问您领到助学金方式是直接发放到卡吗？</w:t>
      </w:r>
    </w:p>
    <w:tbl>
      <w:tblPr>
        <w:tblStyle w:val="18"/>
        <w:tblW w:w="5001" w:type="pct"/>
        <w:tblInd w:w="-3" w:type="dxa"/>
        <w:tblLayout w:type="autofit"/>
        <w:tblCellMar>
          <w:top w:w="0" w:type="dxa"/>
          <w:left w:w="108" w:type="dxa"/>
          <w:bottom w:w="0" w:type="dxa"/>
          <w:right w:w="108" w:type="dxa"/>
        </w:tblCellMar>
      </w:tblPr>
      <w:tblGrid>
        <w:gridCol w:w="2841"/>
        <w:gridCol w:w="2931"/>
        <w:gridCol w:w="2752"/>
      </w:tblGrid>
      <w:tr w14:paraId="1D6FFEB4">
        <w:tblPrEx>
          <w:tblCellMar>
            <w:top w:w="0" w:type="dxa"/>
            <w:left w:w="108" w:type="dxa"/>
            <w:bottom w:w="0" w:type="dxa"/>
            <w:right w:w="108" w:type="dxa"/>
          </w:tblCellMar>
        </w:tblPrEx>
        <w:trPr>
          <w:trHeight w:val="363" w:hRule="atLeast"/>
        </w:trPr>
        <w:tc>
          <w:tcPr>
            <w:tcW w:w="1666" w:type="pct"/>
            <w:tcBorders>
              <w:top w:val="single" w:color="000000" w:sz="4" w:space="0"/>
              <w:left w:val="single" w:color="000000" w:sz="4" w:space="0"/>
              <w:bottom w:val="single" w:color="000000" w:sz="4" w:space="0"/>
              <w:right w:val="single" w:color="000000" w:sz="4" w:space="0"/>
            </w:tcBorders>
            <w:shd w:val="clear" w:color="auto" w:fill="D8E5EC"/>
            <w:vAlign w:val="center"/>
          </w:tcPr>
          <w:p w14:paraId="391CB345">
            <w:pPr>
              <w:widowControl/>
              <w:spacing w:line="240" w:lineRule="auto"/>
              <w:ind w:firstLine="0" w:firstLineChars="0"/>
              <w:jc w:val="left"/>
              <w:textAlignment w:val="center"/>
              <w:rPr>
                <w:rFonts w:ascii="Times New Roman" w:hAnsi="Times New Roman" w:eastAsia="宋体" w:cs="Times New Roman"/>
                <w:b/>
                <w:bCs/>
                <w:color w:val="auto"/>
              </w:rPr>
            </w:pPr>
            <w:r>
              <w:rPr>
                <w:rFonts w:ascii="Times New Roman" w:hAnsi="Times New Roman" w:eastAsia="宋体" w:cs="Times New Roman"/>
                <w:b/>
                <w:bCs/>
                <w:color w:val="auto"/>
                <w:kern w:val="0"/>
                <w:lang w:bidi="ar"/>
              </w:rPr>
              <w:t>选项</w:t>
            </w:r>
          </w:p>
        </w:tc>
        <w:tc>
          <w:tcPr>
            <w:tcW w:w="1719" w:type="pct"/>
            <w:tcBorders>
              <w:top w:val="single" w:color="000000" w:sz="4" w:space="0"/>
              <w:left w:val="single" w:color="000000" w:sz="4" w:space="0"/>
              <w:bottom w:val="single" w:color="000000" w:sz="4" w:space="0"/>
              <w:right w:val="single" w:color="000000" w:sz="4" w:space="0"/>
            </w:tcBorders>
            <w:shd w:val="clear" w:color="auto" w:fill="D8E5EC"/>
            <w:vAlign w:val="center"/>
          </w:tcPr>
          <w:p w14:paraId="57BB2C4C">
            <w:pPr>
              <w:widowControl/>
              <w:spacing w:line="240" w:lineRule="auto"/>
              <w:ind w:firstLine="0" w:firstLineChars="0"/>
              <w:jc w:val="left"/>
              <w:textAlignment w:val="center"/>
              <w:rPr>
                <w:rFonts w:ascii="Times New Roman" w:hAnsi="Times New Roman" w:eastAsia="宋体" w:cs="Times New Roman"/>
                <w:b/>
                <w:bCs/>
                <w:color w:val="auto"/>
              </w:rPr>
            </w:pPr>
            <w:r>
              <w:rPr>
                <w:rFonts w:ascii="Times New Roman" w:hAnsi="Times New Roman" w:eastAsia="宋体" w:cs="Times New Roman"/>
                <w:b/>
                <w:bCs/>
                <w:color w:val="auto"/>
                <w:kern w:val="0"/>
                <w:lang w:bidi="ar"/>
              </w:rPr>
              <w:t>反馈数量</w:t>
            </w:r>
          </w:p>
        </w:tc>
        <w:tc>
          <w:tcPr>
            <w:tcW w:w="1614" w:type="pct"/>
            <w:tcBorders>
              <w:top w:val="single" w:color="000000" w:sz="4" w:space="0"/>
              <w:left w:val="single" w:color="000000" w:sz="4" w:space="0"/>
              <w:bottom w:val="single" w:color="000000" w:sz="4" w:space="0"/>
              <w:right w:val="single" w:color="000000" w:sz="4" w:space="0"/>
            </w:tcBorders>
            <w:shd w:val="clear" w:color="auto" w:fill="D8E5EC"/>
            <w:vAlign w:val="center"/>
          </w:tcPr>
          <w:p w14:paraId="3048FF31">
            <w:pPr>
              <w:widowControl/>
              <w:spacing w:line="240" w:lineRule="auto"/>
              <w:ind w:firstLine="0" w:firstLineChars="0"/>
              <w:jc w:val="left"/>
              <w:textAlignment w:val="center"/>
              <w:rPr>
                <w:rFonts w:ascii="Times New Roman" w:hAnsi="Times New Roman" w:eastAsia="宋体" w:cs="Times New Roman"/>
                <w:b/>
                <w:bCs/>
                <w:color w:val="auto"/>
              </w:rPr>
            </w:pPr>
            <w:r>
              <w:rPr>
                <w:rFonts w:ascii="Times New Roman" w:hAnsi="Times New Roman" w:eastAsia="宋体" w:cs="Times New Roman"/>
                <w:b/>
                <w:bCs/>
                <w:color w:val="auto"/>
                <w:kern w:val="0"/>
                <w:lang w:bidi="ar"/>
              </w:rPr>
              <w:t>占比</w:t>
            </w:r>
          </w:p>
        </w:tc>
      </w:tr>
      <w:tr w14:paraId="5448AC86">
        <w:tblPrEx>
          <w:tblCellMar>
            <w:top w:w="0" w:type="dxa"/>
            <w:left w:w="108" w:type="dxa"/>
            <w:bottom w:w="0" w:type="dxa"/>
            <w:right w:w="108" w:type="dxa"/>
          </w:tblCellMar>
        </w:tblPrEx>
        <w:trPr>
          <w:trHeight w:val="363" w:hRule="atLeast"/>
        </w:trPr>
        <w:tc>
          <w:tcPr>
            <w:tcW w:w="16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24FE73">
            <w:pPr>
              <w:widowControl/>
              <w:spacing w:line="240" w:lineRule="auto"/>
              <w:ind w:firstLine="0" w:firstLineChars="0"/>
              <w:jc w:val="left"/>
              <w:textAlignment w:val="center"/>
              <w:rPr>
                <w:rFonts w:ascii="Times New Roman" w:hAnsi="Times New Roman" w:eastAsia="宋体" w:cs="Times New Roman"/>
                <w:color w:val="auto"/>
              </w:rPr>
            </w:pPr>
            <w:r>
              <w:rPr>
                <w:rFonts w:hint="default" w:ascii="Times New Roman" w:hAnsi="Times New Roman" w:eastAsia="宋体" w:cs="Times New Roman"/>
                <w:color w:val="auto"/>
                <w:kern w:val="0"/>
                <w:lang w:bidi="ar"/>
              </w:rPr>
              <w:t>是</w:t>
            </w:r>
          </w:p>
        </w:tc>
        <w:tc>
          <w:tcPr>
            <w:tcW w:w="17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4F21D7">
            <w:pPr>
              <w:widowControl/>
              <w:spacing w:line="240" w:lineRule="auto"/>
              <w:ind w:firstLine="0" w:firstLineChars="0"/>
              <w:jc w:val="left"/>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kern w:val="0"/>
                <w:lang w:val="en-US" w:eastAsia="zh-CN" w:bidi="ar"/>
              </w:rPr>
              <w:t>24</w:t>
            </w:r>
          </w:p>
        </w:tc>
        <w:tc>
          <w:tcPr>
            <w:tcW w:w="16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FA1F5B">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bidi="ar"/>
              </w:rPr>
              <w:t xml:space="preserve">100.00% </w:t>
            </w:r>
          </w:p>
        </w:tc>
      </w:tr>
      <w:tr w14:paraId="284FEC7C">
        <w:tblPrEx>
          <w:tblCellMar>
            <w:top w:w="0" w:type="dxa"/>
            <w:left w:w="108" w:type="dxa"/>
            <w:bottom w:w="0" w:type="dxa"/>
            <w:right w:w="108" w:type="dxa"/>
          </w:tblCellMar>
        </w:tblPrEx>
        <w:trPr>
          <w:trHeight w:val="363" w:hRule="atLeast"/>
        </w:trPr>
        <w:tc>
          <w:tcPr>
            <w:tcW w:w="1666" w:type="pct"/>
            <w:tcBorders>
              <w:top w:val="single" w:color="000000" w:sz="4" w:space="0"/>
              <w:left w:val="single" w:color="000000" w:sz="4" w:space="0"/>
              <w:bottom w:val="single" w:color="000000" w:sz="4" w:space="0"/>
              <w:right w:val="single" w:color="000000" w:sz="4" w:space="0"/>
            </w:tcBorders>
            <w:shd w:val="clear" w:color="auto" w:fill="EEF6FA"/>
            <w:vAlign w:val="center"/>
          </w:tcPr>
          <w:p w14:paraId="45D35C2D">
            <w:pPr>
              <w:widowControl/>
              <w:spacing w:line="240" w:lineRule="auto"/>
              <w:ind w:firstLine="0" w:firstLineChars="0"/>
              <w:jc w:val="left"/>
              <w:textAlignment w:val="center"/>
              <w:rPr>
                <w:rFonts w:ascii="Times New Roman" w:hAnsi="Times New Roman" w:eastAsia="宋体" w:cs="Times New Roman"/>
                <w:color w:val="auto"/>
              </w:rPr>
            </w:pPr>
            <w:r>
              <w:rPr>
                <w:rFonts w:hint="default" w:ascii="Times New Roman" w:hAnsi="Times New Roman" w:eastAsia="宋体" w:cs="Times New Roman"/>
                <w:color w:val="auto"/>
                <w:kern w:val="0"/>
                <w:lang w:bidi="ar"/>
              </w:rPr>
              <w:t>否</w:t>
            </w:r>
          </w:p>
        </w:tc>
        <w:tc>
          <w:tcPr>
            <w:tcW w:w="1719" w:type="pct"/>
            <w:tcBorders>
              <w:top w:val="single" w:color="000000" w:sz="4" w:space="0"/>
              <w:left w:val="single" w:color="000000" w:sz="4" w:space="0"/>
              <w:bottom w:val="single" w:color="000000" w:sz="4" w:space="0"/>
              <w:right w:val="single" w:color="000000" w:sz="4" w:space="0"/>
            </w:tcBorders>
            <w:shd w:val="clear" w:color="auto" w:fill="EEF6FA"/>
            <w:vAlign w:val="center"/>
          </w:tcPr>
          <w:p w14:paraId="3F93CE8B">
            <w:pPr>
              <w:widowControl/>
              <w:spacing w:line="240" w:lineRule="auto"/>
              <w:ind w:firstLine="0" w:firstLineChars="0"/>
              <w:jc w:val="left"/>
              <w:textAlignment w:val="center"/>
              <w:rPr>
                <w:rFonts w:ascii="Times New Roman" w:hAnsi="Times New Roman" w:eastAsia="宋体" w:cs="Times New Roman"/>
                <w:color w:val="auto"/>
              </w:rPr>
            </w:pPr>
            <w:r>
              <w:rPr>
                <w:rFonts w:hint="default" w:ascii="Times New Roman" w:hAnsi="Times New Roman" w:eastAsia="宋体" w:cs="Times New Roman"/>
                <w:color w:val="auto"/>
                <w:kern w:val="0"/>
                <w:lang w:bidi="ar"/>
              </w:rPr>
              <w:t>0</w:t>
            </w:r>
          </w:p>
        </w:tc>
        <w:tc>
          <w:tcPr>
            <w:tcW w:w="1614" w:type="pct"/>
            <w:tcBorders>
              <w:top w:val="single" w:color="000000" w:sz="4" w:space="0"/>
              <w:left w:val="single" w:color="000000" w:sz="4" w:space="0"/>
              <w:bottom w:val="single" w:color="000000" w:sz="4" w:space="0"/>
              <w:right w:val="single" w:color="000000" w:sz="4" w:space="0"/>
            </w:tcBorders>
            <w:shd w:val="clear" w:color="auto" w:fill="EEF6FA"/>
            <w:vAlign w:val="center"/>
          </w:tcPr>
          <w:p w14:paraId="68F665AB">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bidi="ar"/>
              </w:rPr>
              <w:t xml:space="preserve">0.00% </w:t>
            </w:r>
          </w:p>
        </w:tc>
      </w:tr>
    </w:tbl>
    <w:p w14:paraId="02406675">
      <w:pPr>
        <w:spacing w:line="360" w:lineRule="auto"/>
        <w:ind w:left="0" w:leftChars="0" w:firstLine="0" w:firstLineChars="0"/>
        <w:jc w:val="left"/>
        <w:rPr>
          <w:rFonts w:ascii="Times New Roman" w:hAnsi="Times New Roman" w:cs="Times New Roman"/>
          <w:color w:val="auto"/>
        </w:rPr>
      </w:pPr>
      <w:r>
        <w:rPr>
          <w:rFonts w:hint="default" w:ascii="Times New Roman" w:hAnsi="Times New Roman" w:cs="Times New Roman"/>
          <w:color w:val="auto"/>
        </w:rPr>
        <w:t>（</w:t>
      </w:r>
      <w:r>
        <w:rPr>
          <w:rFonts w:hint="default" w:ascii="Times New Roman" w:hAnsi="Times New Roman" w:cs="Times New Roman"/>
          <w:color w:val="auto"/>
          <w:lang w:val="en-US" w:eastAsia="zh-CN"/>
        </w:rPr>
        <w:t>6</w:t>
      </w:r>
      <w:r>
        <w:rPr>
          <w:rFonts w:hint="default" w:ascii="Times New Roman" w:hAnsi="Times New Roman" w:cs="Times New Roman"/>
          <w:color w:val="auto"/>
        </w:rPr>
        <w:t>）请问您对领到助学金是否满意？</w:t>
      </w:r>
    </w:p>
    <w:tbl>
      <w:tblPr>
        <w:tblStyle w:val="18"/>
        <w:tblW w:w="5001" w:type="pct"/>
        <w:tblInd w:w="-3" w:type="dxa"/>
        <w:tblLayout w:type="autofit"/>
        <w:tblCellMar>
          <w:top w:w="0" w:type="dxa"/>
          <w:left w:w="108" w:type="dxa"/>
          <w:bottom w:w="0" w:type="dxa"/>
          <w:right w:w="108" w:type="dxa"/>
        </w:tblCellMar>
      </w:tblPr>
      <w:tblGrid>
        <w:gridCol w:w="2841"/>
        <w:gridCol w:w="2931"/>
        <w:gridCol w:w="2752"/>
      </w:tblGrid>
      <w:tr w14:paraId="194B8047">
        <w:tblPrEx>
          <w:tblCellMar>
            <w:top w:w="0" w:type="dxa"/>
            <w:left w:w="108" w:type="dxa"/>
            <w:bottom w:w="0" w:type="dxa"/>
            <w:right w:w="108" w:type="dxa"/>
          </w:tblCellMar>
        </w:tblPrEx>
        <w:trPr>
          <w:trHeight w:val="363" w:hRule="atLeast"/>
        </w:trPr>
        <w:tc>
          <w:tcPr>
            <w:tcW w:w="1666" w:type="pct"/>
            <w:tcBorders>
              <w:top w:val="single" w:color="000000" w:sz="4" w:space="0"/>
              <w:left w:val="single" w:color="000000" w:sz="4" w:space="0"/>
              <w:bottom w:val="single" w:color="000000" w:sz="4" w:space="0"/>
              <w:right w:val="single" w:color="000000" w:sz="4" w:space="0"/>
            </w:tcBorders>
            <w:shd w:val="clear" w:color="auto" w:fill="D8E5EC"/>
            <w:vAlign w:val="center"/>
          </w:tcPr>
          <w:p w14:paraId="5C0187BE">
            <w:pPr>
              <w:widowControl/>
              <w:spacing w:line="240" w:lineRule="auto"/>
              <w:ind w:firstLine="0" w:firstLineChars="0"/>
              <w:jc w:val="left"/>
              <w:textAlignment w:val="center"/>
              <w:rPr>
                <w:rFonts w:ascii="Times New Roman" w:hAnsi="Times New Roman" w:eastAsia="宋体" w:cs="Times New Roman"/>
                <w:b/>
                <w:bCs/>
                <w:color w:val="auto"/>
              </w:rPr>
            </w:pPr>
            <w:r>
              <w:rPr>
                <w:rFonts w:ascii="Times New Roman" w:hAnsi="Times New Roman" w:eastAsia="宋体" w:cs="Times New Roman"/>
                <w:b/>
                <w:bCs/>
                <w:color w:val="auto"/>
                <w:kern w:val="0"/>
                <w:lang w:bidi="ar"/>
              </w:rPr>
              <w:t>选项</w:t>
            </w:r>
          </w:p>
        </w:tc>
        <w:tc>
          <w:tcPr>
            <w:tcW w:w="1719" w:type="pct"/>
            <w:tcBorders>
              <w:top w:val="single" w:color="000000" w:sz="4" w:space="0"/>
              <w:left w:val="single" w:color="000000" w:sz="4" w:space="0"/>
              <w:bottom w:val="single" w:color="000000" w:sz="4" w:space="0"/>
              <w:right w:val="single" w:color="000000" w:sz="4" w:space="0"/>
            </w:tcBorders>
            <w:shd w:val="clear" w:color="auto" w:fill="D8E5EC"/>
            <w:vAlign w:val="center"/>
          </w:tcPr>
          <w:p w14:paraId="211896E0">
            <w:pPr>
              <w:widowControl/>
              <w:spacing w:line="240" w:lineRule="auto"/>
              <w:ind w:firstLine="0" w:firstLineChars="0"/>
              <w:jc w:val="left"/>
              <w:textAlignment w:val="center"/>
              <w:rPr>
                <w:rFonts w:ascii="Times New Roman" w:hAnsi="Times New Roman" w:eastAsia="宋体" w:cs="Times New Roman"/>
                <w:b/>
                <w:bCs/>
                <w:color w:val="auto"/>
              </w:rPr>
            </w:pPr>
            <w:r>
              <w:rPr>
                <w:rFonts w:ascii="Times New Roman" w:hAnsi="Times New Roman" w:eastAsia="宋体" w:cs="Times New Roman"/>
                <w:b/>
                <w:bCs/>
                <w:color w:val="auto"/>
                <w:kern w:val="0"/>
                <w:lang w:bidi="ar"/>
              </w:rPr>
              <w:t>反馈数量</w:t>
            </w:r>
          </w:p>
        </w:tc>
        <w:tc>
          <w:tcPr>
            <w:tcW w:w="1614" w:type="pct"/>
            <w:tcBorders>
              <w:top w:val="single" w:color="000000" w:sz="4" w:space="0"/>
              <w:left w:val="single" w:color="000000" w:sz="4" w:space="0"/>
              <w:bottom w:val="single" w:color="000000" w:sz="4" w:space="0"/>
              <w:right w:val="single" w:color="000000" w:sz="4" w:space="0"/>
            </w:tcBorders>
            <w:shd w:val="clear" w:color="auto" w:fill="D8E5EC"/>
            <w:vAlign w:val="center"/>
          </w:tcPr>
          <w:p w14:paraId="34D22745">
            <w:pPr>
              <w:widowControl/>
              <w:spacing w:line="240" w:lineRule="auto"/>
              <w:ind w:firstLine="0" w:firstLineChars="0"/>
              <w:jc w:val="left"/>
              <w:textAlignment w:val="center"/>
              <w:rPr>
                <w:rFonts w:ascii="Times New Roman" w:hAnsi="Times New Roman" w:eastAsia="宋体" w:cs="Times New Roman"/>
                <w:b/>
                <w:bCs/>
                <w:color w:val="auto"/>
              </w:rPr>
            </w:pPr>
            <w:r>
              <w:rPr>
                <w:rFonts w:ascii="Times New Roman" w:hAnsi="Times New Roman" w:eastAsia="宋体" w:cs="Times New Roman"/>
                <w:b/>
                <w:bCs/>
                <w:color w:val="auto"/>
                <w:kern w:val="0"/>
                <w:lang w:bidi="ar"/>
              </w:rPr>
              <w:t>占比</w:t>
            </w:r>
          </w:p>
        </w:tc>
      </w:tr>
      <w:tr w14:paraId="0F022530">
        <w:tblPrEx>
          <w:tblCellMar>
            <w:top w:w="0" w:type="dxa"/>
            <w:left w:w="108" w:type="dxa"/>
            <w:bottom w:w="0" w:type="dxa"/>
            <w:right w:w="108" w:type="dxa"/>
          </w:tblCellMar>
        </w:tblPrEx>
        <w:trPr>
          <w:trHeight w:val="363" w:hRule="atLeast"/>
        </w:trPr>
        <w:tc>
          <w:tcPr>
            <w:tcW w:w="2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3E673">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bidi="ar"/>
              </w:rPr>
              <w:t>非常满意</w:t>
            </w:r>
          </w:p>
        </w:tc>
        <w:tc>
          <w:tcPr>
            <w:tcW w:w="2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C1962">
            <w:pPr>
              <w:widowControl/>
              <w:spacing w:line="240" w:lineRule="auto"/>
              <w:ind w:firstLine="0" w:firstLineChars="0"/>
              <w:jc w:val="left"/>
              <w:textAlignment w:val="center"/>
              <w:rPr>
                <w:rFonts w:hint="default" w:ascii="Times New Roman" w:hAnsi="Times New Roman" w:eastAsia="宋体" w:cs="Times New Roman"/>
                <w:color w:val="auto"/>
                <w:kern w:val="0"/>
                <w:lang w:val="en-US" w:eastAsia="zh-CN" w:bidi="ar"/>
              </w:rPr>
            </w:pPr>
            <w:r>
              <w:rPr>
                <w:rFonts w:hint="default" w:ascii="Times New Roman" w:hAnsi="Times New Roman" w:eastAsia="宋体" w:cs="Times New Roman"/>
                <w:color w:val="auto"/>
                <w:kern w:val="0"/>
                <w:lang w:val="en-US" w:eastAsia="zh-CN" w:bidi="ar"/>
              </w:rPr>
              <w:t>22</w:t>
            </w:r>
          </w:p>
        </w:tc>
        <w:tc>
          <w:tcPr>
            <w:tcW w:w="2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03167">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val="en-US" w:eastAsia="zh-CN" w:bidi="ar"/>
              </w:rPr>
              <w:t>91.67</w:t>
            </w:r>
            <w:r>
              <w:rPr>
                <w:rFonts w:hint="default" w:ascii="Times New Roman" w:hAnsi="Times New Roman" w:eastAsia="宋体" w:cs="Times New Roman"/>
                <w:color w:val="auto"/>
                <w:kern w:val="0"/>
                <w:lang w:bidi="ar"/>
              </w:rPr>
              <w:t>%</w:t>
            </w:r>
          </w:p>
        </w:tc>
      </w:tr>
      <w:tr w14:paraId="68830CC7">
        <w:tblPrEx>
          <w:tblCellMar>
            <w:top w:w="0" w:type="dxa"/>
            <w:left w:w="108" w:type="dxa"/>
            <w:bottom w:w="0" w:type="dxa"/>
            <w:right w:w="108" w:type="dxa"/>
          </w:tblCellMar>
        </w:tblPrEx>
        <w:trPr>
          <w:trHeight w:val="363" w:hRule="atLeast"/>
        </w:trPr>
        <w:tc>
          <w:tcPr>
            <w:tcW w:w="2841" w:type="dxa"/>
            <w:tcBorders>
              <w:top w:val="single" w:color="000000" w:sz="4" w:space="0"/>
              <w:left w:val="single" w:color="000000" w:sz="4" w:space="0"/>
              <w:bottom w:val="single" w:color="000000" w:sz="4" w:space="0"/>
              <w:right w:val="single" w:color="000000" w:sz="4" w:space="0"/>
            </w:tcBorders>
            <w:shd w:val="clear" w:color="auto" w:fill="EEF6FA"/>
            <w:vAlign w:val="center"/>
          </w:tcPr>
          <w:p w14:paraId="044D40D8">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bidi="ar"/>
              </w:rPr>
              <w:t>比较满意</w:t>
            </w:r>
          </w:p>
        </w:tc>
        <w:tc>
          <w:tcPr>
            <w:tcW w:w="2931" w:type="dxa"/>
            <w:tcBorders>
              <w:top w:val="single" w:color="000000" w:sz="4" w:space="0"/>
              <w:left w:val="single" w:color="000000" w:sz="4" w:space="0"/>
              <w:bottom w:val="single" w:color="000000" w:sz="4" w:space="0"/>
              <w:right w:val="single" w:color="000000" w:sz="4" w:space="0"/>
            </w:tcBorders>
            <w:shd w:val="clear" w:color="auto" w:fill="EEF6FA"/>
            <w:vAlign w:val="center"/>
          </w:tcPr>
          <w:p w14:paraId="0D26C27F">
            <w:pPr>
              <w:widowControl/>
              <w:spacing w:line="240" w:lineRule="auto"/>
              <w:ind w:firstLine="0" w:firstLineChars="0"/>
              <w:jc w:val="left"/>
              <w:textAlignment w:val="center"/>
              <w:rPr>
                <w:rFonts w:hint="default" w:ascii="Times New Roman" w:hAnsi="Times New Roman" w:eastAsia="宋体" w:cs="Times New Roman"/>
                <w:color w:val="auto"/>
                <w:kern w:val="0"/>
                <w:lang w:eastAsia="zh-CN" w:bidi="ar"/>
              </w:rPr>
            </w:pPr>
            <w:r>
              <w:rPr>
                <w:rFonts w:hint="default" w:ascii="Times New Roman" w:hAnsi="Times New Roman" w:eastAsia="宋体" w:cs="Times New Roman"/>
                <w:color w:val="auto"/>
                <w:kern w:val="0"/>
                <w:lang w:val="en-US" w:eastAsia="zh-CN" w:bidi="ar"/>
              </w:rPr>
              <w:t>2</w:t>
            </w:r>
          </w:p>
        </w:tc>
        <w:tc>
          <w:tcPr>
            <w:tcW w:w="2752" w:type="dxa"/>
            <w:tcBorders>
              <w:top w:val="single" w:color="000000" w:sz="4" w:space="0"/>
              <w:left w:val="single" w:color="000000" w:sz="4" w:space="0"/>
              <w:bottom w:val="single" w:color="000000" w:sz="4" w:space="0"/>
              <w:right w:val="single" w:color="000000" w:sz="4" w:space="0"/>
            </w:tcBorders>
            <w:shd w:val="clear" w:color="auto" w:fill="EEF6FA"/>
            <w:vAlign w:val="center"/>
          </w:tcPr>
          <w:p w14:paraId="518446BD">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val="en-US" w:eastAsia="zh-CN" w:bidi="ar"/>
              </w:rPr>
              <w:t>8.337</w:t>
            </w:r>
            <w:r>
              <w:rPr>
                <w:rFonts w:hint="default" w:ascii="Times New Roman" w:hAnsi="Times New Roman" w:eastAsia="宋体" w:cs="Times New Roman"/>
                <w:color w:val="auto"/>
                <w:kern w:val="0"/>
                <w:lang w:bidi="ar"/>
              </w:rPr>
              <w:t>%</w:t>
            </w:r>
          </w:p>
        </w:tc>
      </w:tr>
      <w:tr w14:paraId="49D265D7">
        <w:tblPrEx>
          <w:tblCellMar>
            <w:top w:w="0" w:type="dxa"/>
            <w:left w:w="108" w:type="dxa"/>
            <w:bottom w:w="0" w:type="dxa"/>
            <w:right w:w="108" w:type="dxa"/>
          </w:tblCellMar>
        </w:tblPrEx>
        <w:trPr>
          <w:trHeight w:val="363" w:hRule="atLeast"/>
        </w:trPr>
        <w:tc>
          <w:tcPr>
            <w:tcW w:w="2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ED4A3">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bidi="ar"/>
              </w:rPr>
              <w:t>一般</w:t>
            </w:r>
          </w:p>
        </w:tc>
        <w:tc>
          <w:tcPr>
            <w:tcW w:w="2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CB471">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bidi="ar"/>
              </w:rPr>
              <w:t xml:space="preserve">0 </w:t>
            </w:r>
          </w:p>
        </w:tc>
        <w:tc>
          <w:tcPr>
            <w:tcW w:w="2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FDC6B">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bidi="ar"/>
              </w:rPr>
              <w:t>0.0%</w:t>
            </w:r>
          </w:p>
        </w:tc>
      </w:tr>
      <w:tr w14:paraId="055163E6">
        <w:tblPrEx>
          <w:tblCellMar>
            <w:top w:w="0" w:type="dxa"/>
            <w:left w:w="108" w:type="dxa"/>
            <w:bottom w:w="0" w:type="dxa"/>
            <w:right w:w="108" w:type="dxa"/>
          </w:tblCellMar>
        </w:tblPrEx>
        <w:trPr>
          <w:trHeight w:val="363" w:hRule="atLeast"/>
        </w:trPr>
        <w:tc>
          <w:tcPr>
            <w:tcW w:w="2841" w:type="dxa"/>
            <w:tcBorders>
              <w:top w:val="single" w:color="000000" w:sz="4" w:space="0"/>
              <w:left w:val="single" w:color="000000" w:sz="4" w:space="0"/>
              <w:bottom w:val="single" w:color="000000" w:sz="4" w:space="0"/>
              <w:right w:val="single" w:color="000000" w:sz="4" w:space="0"/>
            </w:tcBorders>
            <w:shd w:val="clear" w:color="auto" w:fill="EEF6FA"/>
            <w:vAlign w:val="center"/>
          </w:tcPr>
          <w:p w14:paraId="06C1E003">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bidi="ar"/>
              </w:rPr>
              <w:t>较不满意</w:t>
            </w:r>
          </w:p>
        </w:tc>
        <w:tc>
          <w:tcPr>
            <w:tcW w:w="2931" w:type="dxa"/>
            <w:tcBorders>
              <w:top w:val="single" w:color="000000" w:sz="4" w:space="0"/>
              <w:left w:val="single" w:color="000000" w:sz="4" w:space="0"/>
              <w:bottom w:val="single" w:color="000000" w:sz="4" w:space="0"/>
              <w:right w:val="single" w:color="000000" w:sz="4" w:space="0"/>
            </w:tcBorders>
            <w:shd w:val="clear" w:color="auto" w:fill="EEF6FA"/>
            <w:vAlign w:val="center"/>
          </w:tcPr>
          <w:p w14:paraId="40F1B4C0">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bidi="ar"/>
              </w:rPr>
              <w:t xml:space="preserve">0 </w:t>
            </w:r>
          </w:p>
        </w:tc>
        <w:tc>
          <w:tcPr>
            <w:tcW w:w="2752" w:type="dxa"/>
            <w:tcBorders>
              <w:top w:val="single" w:color="000000" w:sz="4" w:space="0"/>
              <w:left w:val="single" w:color="000000" w:sz="4" w:space="0"/>
              <w:bottom w:val="single" w:color="000000" w:sz="4" w:space="0"/>
              <w:right w:val="single" w:color="000000" w:sz="4" w:space="0"/>
            </w:tcBorders>
            <w:shd w:val="clear" w:color="auto" w:fill="EEF6FA"/>
            <w:vAlign w:val="center"/>
          </w:tcPr>
          <w:p w14:paraId="56ED3245">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bidi="ar"/>
              </w:rPr>
              <w:t>0.0%</w:t>
            </w:r>
          </w:p>
        </w:tc>
      </w:tr>
      <w:tr w14:paraId="3466BF30">
        <w:tblPrEx>
          <w:tblCellMar>
            <w:top w:w="0" w:type="dxa"/>
            <w:left w:w="108" w:type="dxa"/>
            <w:bottom w:w="0" w:type="dxa"/>
            <w:right w:w="108" w:type="dxa"/>
          </w:tblCellMar>
        </w:tblPrEx>
        <w:trPr>
          <w:trHeight w:val="363" w:hRule="atLeast"/>
        </w:trPr>
        <w:tc>
          <w:tcPr>
            <w:tcW w:w="2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ECD09">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bidi="ar"/>
              </w:rPr>
              <w:t>不满意</w:t>
            </w:r>
          </w:p>
        </w:tc>
        <w:tc>
          <w:tcPr>
            <w:tcW w:w="2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D5EF1">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bidi="ar"/>
              </w:rPr>
              <w:t xml:space="preserve">0 </w:t>
            </w:r>
          </w:p>
        </w:tc>
        <w:tc>
          <w:tcPr>
            <w:tcW w:w="2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DD867">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bidi="ar"/>
              </w:rPr>
              <w:t>0.0%</w:t>
            </w:r>
          </w:p>
        </w:tc>
      </w:tr>
    </w:tbl>
    <w:p w14:paraId="466F366B">
      <w:pPr>
        <w:spacing w:line="360" w:lineRule="auto"/>
        <w:ind w:left="0" w:leftChars="0" w:firstLine="0" w:firstLineChars="0"/>
        <w:jc w:val="left"/>
        <w:rPr>
          <w:rFonts w:hint="default" w:ascii="Times New Roman" w:hAnsi="Times New Roman" w:cs="Times New Roman"/>
          <w:color w:val="auto"/>
          <w:lang w:val="en-US" w:eastAsia="zh-CN"/>
        </w:rPr>
      </w:pPr>
      <w:r>
        <w:rPr>
          <w:rFonts w:hint="default" w:ascii="Times New Roman" w:hAnsi="Times New Roman" w:cs="Times New Roman"/>
          <w:color w:val="auto"/>
        </w:rPr>
        <w:t>（</w:t>
      </w:r>
      <w:r>
        <w:rPr>
          <w:rFonts w:hint="default" w:ascii="Times New Roman" w:hAnsi="Times New Roman" w:cs="Times New Roman"/>
          <w:color w:val="auto"/>
          <w:lang w:val="en-US" w:eastAsia="zh-CN"/>
        </w:rPr>
        <w:t>7</w:t>
      </w:r>
      <w:r>
        <w:rPr>
          <w:rFonts w:hint="default" w:ascii="Times New Roman" w:hAnsi="Times New Roman" w:cs="Times New Roman"/>
          <w:color w:val="auto"/>
        </w:rPr>
        <w:t>）</w:t>
      </w:r>
      <w:r>
        <w:rPr>
          <w:rFonts w:hint="default" w:ascii="Times New Roman" w:hAnsi="Times New Roman" w:cs="Times New Roman"/>
          <w:color w:val="auto"/>
          <w:lang w:val="en-US" w:eastAsia="zh-CN"/>
        </w:rPr>
        <w:t>您认为项目对您（或受助孤儿）的学习和生活帮助程度如何？</w:t>
      </w:r>
    </w:p>
    <w:tbl>
      <w:tblPr>
        <w:tblStyle w:val="18"/>
        <w:tblW w:w="5001" w:type="pct"/>
        <w:tblInd w:w="-3" w:type="dxa"/>
        <w:tblLayout w:type="autofit"/>
        <w:tblCellMar>
          <w:top w:w="0" w:type="dxa"/>
          <w:left w:w="108" w:type="dxa"/>
          <w:bottom w:w="0" w:type="dxa"/>
          <w:right w:w="108" w:type="dxa"/>
        </w:tblCellMar>
      </w:tblPr>
      <w:tblGrid>
        <w:gridCol w:w="2841"/>
        <w:gridCol w:w="2931"/>
        <w:gridCol w:w="2752"/>
      </w:tblGrid>
      <w:tr w14:paraId="2B47B9D6">
        <w:tblPrEx>
          <w:tblCellMar>
            <w:top w:w="0" w:type="dxa"/>
            <w:left w:w="108" w:type="dxa"/>
            <w:bottom w:w="0" w:type="dxa"/>
            <w:right w:w="108" w:type="dxa"/>
          </w:tblCellMar>
        </w:tblPrEx>
        <w:trPr>
          <w:trHeight w:val="363" w:hRule="atLeast"/>
        </w:trPr>
        <w:tc>
          <w:tcPr>
            <w:tcW w:w="1666" w:type="pct"/>
            <w:tcBorders>
              <w:top w:val="single" w:color="000000" w:sz="4" w:space="0"/>
              <w:left w:val="single" w:color="000000" w:sz="4" w:space="0"/>
              <w:bottom w:val="single" w:color="000000" w:sz="4" w:space="0"/>
              <w:right w:val="single" w:color="000000" w:sz="4" w:space="0"/>
            </w:tcBorders>
            <w:shd w:val="clear" w:color="auto" w:fill="D8E5EC"/>
            <w:vAlign w:val="center"/>
          </w:tcPr>
          <w:p w14:paraId="5B833F65">
            <w:pPr>
              <w:widowControl/>
              <w:spacing w:line="240" w:lineRule="auto"/>
              <w:ind w:firstLine="0" w:firstLineChars="0"/>
              <w:jc w:val="left"/>
              <w:textAlignment w:val="center"/>
              <w:rPr>
                <w:rFonts w:ascii="Times New Roman" w:hAnsi="Times New Roman" w:eastAsia="宋体" w:cs="Times New Roman"/>
                <w:b/>
                <w:bCs/>
                <w:color w:val="auto"/>
              </w:rPr>
            </w:pPr>
            <w:r>
              <w:rPr>
                <w:rFonts w:ascii="Times New Roman" w:hAnsi="Times New Roman" w:eastAsia="宋体" w:cs="Times New Roman"/>
                <w:b/>
                <w:bCs/>
                <w:color w:val="auto"/>
                <w:kern w:val="0"/>
                <w:lang w:bidi="ar"/>
              </w:rPr>
              <w:t>选项</w:t>
            </w:r>
          </w:p>
        </w:tc>
        <w:tc>
          <w:tcPr>
            <w:tcW w:w="1719" w:type="pct"/>
            <w:tcBorders>
              <w:top w:val="single" w:color="000000" w:sz="4" w:space="0"/>
              <w:left w:val="single" w:color="000000" w:sz="4" w:space="0"/>
              <w:bottom w:val="single" w:color="000000" w:sz="4" w:space="0"/>
              <w:right w:val="single" w:color="000000" w:sz="4" w:space="0"/>
            </w:tcBorders>
            <w:shd w:val="clear" w:color="auto" w:fill="D8E5EC"/>
            <w:vAlign w:val="center"/>
          </w:tcPr>
          <w:p w14:paraId="66BA2181">
            <w:pPr>
              <w:widowControl/>
              <w:spacing w:line="240" w:lineRule="auto"/>
              <w:ind w:firstLine="0" w:firstLineChars="0"/>
              <w:jc w:val="left"/>
              <w:textAlignment w:val="center"/>
              <w:rPr>
                <w:rFonts w:ascii="Times New Roman" w:hAnsi="Times New Roman" w:eastAsia="宋体" w:cs="Times New Roman"/>
                <w:b/>
                <w:bCs/>
                <w:color w:val="auto"/>
              </w:rPr>
            </w:pPr>
            <w:r>
              <w:rPr>
                <w:rFonts w:ascii="Times New Roman" w:hAnsi="Times New Roman" w:eastAsia="宋体" w:cs="Times New Roman"/>
                <w:b/>
                <w:bCs/>
                <w:color w:val="auto"/>
                <w:kern w:val="0"/>
                <w:lang w:bidi="ar"/>
              </w:rPr>
              <w:t>反馈数量</w:t>
            </w:r>
          </w:p>
        </w:tc>
        <w:tc>
          <w:tcPr>
            <w:tcW w:w="1614" w:type="pct"/>
            <w:tcBorders>
              <w:top w:val="single" w:color="000000" w:sz="4" w:space="0"/>
              <w:left w:val="single" w:color="000000" w:sz="4" w:space="0"/>
              <w:bottom w:val="single" w:color="000000" w:sz="4" w:space="0"/>
              <w:right w:val="single" w:color="000000" w:sz="4" w:space="0"/>
            </w:tcBorders>
            <w:shd w:val="clear" w:color="auto" w:fill="D8E5EC"/>
            <w:vAlign w:val="center"/>
          </w:tcPr>
          <w:p w14:paraId="0F078DC2">
            <w:pPr>
              <w:widowControl/>
              <w:spacing w:line="240" w:lineRule="auto"/>
              <w:ind w:firstLine="0" w:firstLineChars="0"/>
              <w:jc w:val="left"/>
              <w:textAlignment w:val="center"/>
              <w:rPr>
                <w:rFonts w:ascii="Times New Roman" w:hAnsi="Times New Roman" w:eastAsia="宋体" w:cs="Times New Roman"/>
                <w:b/>
                <w:bCs/>
                <w:color w:val="auto"/>
              </w:rPr>
            </w:pPr>
            <w:r>
              <w:rPr>
                <w:rFonts w:ascii="Times New Roman" w:hAnsi="Times New Roman" w:eastAsia="宋体" w:cs="Times New Roman"/>
                <w:b/>
                <w:bCs/>
                <w:color w:val="auto"/>
                <w:kern w:val="0"/>
                <w:lang w:bidi="ar"/>
              </w:rPr>
              <w:t>占比</w:t>
            </w:r>
          </w:p>
        </w:tc>
      </w:tr>
      <w:tr w14:paraId="0E5DCC22">
        <w:tblPrEx>
          <w:tblCellMar>
            <w:top w:w="0" w:type="dxa"/>
            <w:left w:w="108" w:type="dxa"/>
            <w:bottom w:w="0" w:type="dxa"/>
            <w:right w:w="108" w:type="dxa"/>
          </w:tblCellMar>
        </w:tblPrEx>
        <w:trPr>
          <w:trHeight w:val="363" w:hRule="atLeast"/>
        </w:trPr>
        <w:tc>
          <w:tcPr>
            <w:tcW w:w="2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C4CB2">
            <w:pPr>
              <w:widowControl/>
              <w:spacing w:line="240" w:lineRule="auto"/>
              <w:ind w:firstLine="0" w:firstLineChars="0"/>
              <w:jc w:val="left"/>
              <w:textAlignment w:val="center"/>
              <w:rPr>
                <w:rFonts w:hint="default" w:ascii="Times New Roman" w:hAnsi="Times New Roman" w:eastAsia="宋体" w:cs="Times New Roman"/>
                <w:color w:val="auto"/>
                <w:kern w:val="0"/>
                <w:lang w:eastAsia="zh-CN" w:bidi="ar"/>
              </w:rPr>
            </w:pPr>
            <w:r>
              <w:rPr>
                <w:rFonts w:hint="default" w:ascii="Times New Roman" w:hAnsi="Times New Roman" w:eastAsia="宋体" w:cs="Times New Roman"/>
                <w:color w:val="auto"/>
                <w:kern w:val="0"/>
                <w:lang w:val="en-US" w:eastAsia="zh-CN" w:bidi="ar"/>
              </w:rPr>
              <w:t>显著</w:t>
            </w:r>
          </w:p>
        </w:tc>
        <w:tc>
          <w:tcPr>
            <w:tcW w:w="2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75D15">
            <w:pPr>
              <w:widowControl/>
              <w:spacing w:line="240" w:lineRule="auto"/>
              <w:ind w:firstLine="0" w:firstLineChars="0"/>
              <w:jc w:val="left"/>
              <w:textAlignment w:val="center"/>
              <w:rPr>
                <w:rFonts w:hint="default" w:ascii="Times New Roman" w:hAnsi="Times New Roman" w:eastAsia="宋体" w:cs="Times New Roman"/>
                <w:color w:val="auto"/>
                <w:kern w:val="0"/>
                <w:lang w:val="en-US" w:eastAsia="zh-CN" w:bidi="ar"/>
              </w:rPr>
            </w:pPr>
            <w:r>
              <w:rPr>
                <w:rFonts w:hint="default" w:ascii="Times New Roman" w:hAnsi="Times New Roman" w:eastAsia="宋体" w:cs="Times New Roman"/>
                <w:color w:val="auto"/>
                <w:kern w:val="0"/>
                <w:lang w:val="en-US" w:eastAsia="zh-CN" w:bidi="ar"/>
              </w:rPr>
              <w:t>21</w:t>
            </w:r>
          </w:p>
        </w:tc>
        <w:tc>
          <w:tcPr>
            <w:tcW w:w="2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BCB3D">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val="en-US" w:eastAsia="zh-CN" w:bidi="ar"/>
              </w:rPr>
              <w:t>87.5</w:t>
            </w:r>
            <w:r>
              <w:rPr>
                <w:rFonts w:hint="default" w:ascii="Times New Roman" w:hAnsi="Times New Roman" w:eastAsia="宋体" w:cs="Times New Roman"/>
                <w:color w:val="auto"/>
                <w:kern w:val="0"/>
                <w:lang w:bidi="ar"/>
              </w:rPr>
              <w:t>%</w:t>
            </w:r>
          </w:p>
        </w:tc>
      </w:tr>
      <w:tr w14:paraId="63A6861D">
        <w:tblPrEx>
          <w:tblCellMar>
            <w:top w:w="0" w:type="dxa"/>
            <w:left w:w="108" w:type="dxa"/>
            <w:bottom w:w="0" w:type="dxa"/>
            <w:right w:w="108" w:type="dxa"/>
          </w:tblCellMar>
        </w:tblPrEx>
        <w:trPr>
          <w:trHeight w:val="363" w:hRule="atLeast"/>
        </w:trPr>
        <w:tc>
          <w:tcPr>
            <w:tcW w:w="2841" w:type="dxa"/>
            <w:tcBorders>
              <w:top w:val="single" w:color="000000" w:sz="4" w:space="0"/>
              <w:left w:val="single" w:color="000000" w:sz="4" w:space="0"/>
              <w:bottom w:val="single" w:color="000000" w:sz="4" w:space="0"/>
              <w:right w:val="single" w:color="000000" w:sz="4" w:space="0"/>
            </w:tcBorders>
            <w:shd w:val="clear" w:color="auto" w:fill="EEF6FA"/>
            <w:vAlign w:val="center"/>
          </w:tcPr>
          <w:p w14:paraId="3F0D98E6">
            <w:pPr>
              <w:widowControl/>
              <w:spacing w:line="240" w:lineRule="auto"/>
              <w:ind w:firstLine="0" w:firstLineChars="0"/>
              <w:jc w:val="left"/>
              <w:textAlignment w:val="center"/>
              <w:rPr>
                <w:rFonts w:hint="default" w:ascii="Times New Roman" w:hAnsi="Times New Roman" w:eastAsia="宋体" w:cs="Times New Roman"/>
                <w:color w:val="auto"/>
                <w:kern w:val="0"/>
                <w:lang w:eastAsia="zh-CN" w:bidi="ar"/>
              </w:rPr>
            </w:pPr>
            <w:r>
              <w:rPr>
                <w:rFonts w:hint="default" w:ascii="Times New Roman" w:hAnsi="Times New Roman" w:eastAsia="宋体" w:cs="Times New Roman"/>
                <w:color w:val="auto"/>
                <w:kern w:val="0"/>
                <w:lang w:val="en-US" w:eastAsia="zh-CN" w:bidi="ar"/>
              </w:rPr>
              <w:t>较好</w:t>
            </w:r>
          </w:p>
        </w:tc>
        <w:tc>
          <w:tcPr>
            <w:tcW w:w="2931" w:type="dxa"/>
            <w:tcBorders>
              <w:top w:val="single" w:color="000000" w:sz="4" w:space="0"/>
              <w:left w:val="single" w:color="000000" w:sz="4" w:space="0"/>
              <w:bottom w:val="single" w:color="000000" w:sz="4" w:space="0"/>
              <w:right w:val="single" w:color="000000" w:sz="4" w:space="0"/>
            </w:tcBorders>
            <w:shd w:val="clear" w:color="auto" w:fill="EEF6FA"/>
            <w:vAlign w:val="center"/>
          </w:tcPr>
          <w:p w14:paraId="5D19050F">
            <w:pPr>
              <w:widowControl/>
              <w:spacing w:line="240" w:lineRule="auto"/>
              <w:ind w:firstLine="0" w:firstLineChars="0"/>
              <w:jc w:val="left"/>
              <w:textAlignment w:val="center"/>
              <w:rPr>
                <w:rFonts w:hint="default" w:ascii="Times New Roman" w:hAnsi="Times New Roman" w:eastAsia="宋体" w:cs="Times New Roman"/>
                <w:color w:val="auto"/>
                <w:kern w:val="0"/>
                <w:lang w:eastAsia="zh-CN" w:bidi="ar"/>
              </w:rPr>
            </w:pPr>
            <w:r>
              <w:rPr>
                <w:rFonts w:hint="default" w:ascii="Times New Roman" w:hAnsi="Times New Roman" w:eastAsia="宋体" w:cs="Times New Roman"/>
                <w:color w:val="auto"/>
                <w:kern w:val="0"/>
                <w:lang w:val="en-US" w:eastAsia="zh-CN" w:bidi="ar"/>
              </w:rPr>
              <w:t>3</w:t>
            </w:r>
          </w:p>
        </w:tc>
        <w:tc>
          <w:tcPr>
            <w:tcW w:w="2752" w:type="dxa"/>
            <w:tcBorders>
              <w:top w:val="single" w:color="000000" w:sz="4" w:space="0"/>
              <w:left w:val="single" w:color="000000" w:sz="4" w:space="0"/>
              <w:bottom w:val="single" w:color="000000" w:sz="4" w:space="0"/>
              <w:right w:val="single" w:color="000000" w:sz="4" w:space="0"/>
            </w:tcBorders>
            <w:shd w:val="clear" w:color="auto" w:fill="EEF6FA"/>
            <w:vAlign w:val="center"/>
          </w:tcPr>
          <w:p w14:paraId="5782871F">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val="en-US" w:eastAsia="zh-CN" w:bidi="ar"/>
              </w:rPr>
              <w:t>12.5</w:t>
            </w:r>
            <w:r>
              <w:rPr>
                <w:rFonts w:hint="default" w:ascii="Times New Roman" w:hAnsi="Times New Roman" w:eastAsia="宋体" w:cs="Times New Roman"/>
                <w:color w:val="auto"/>
                <w:kern w:val="0"/>
                <w:lang w:bidi="ar"/>
              </w:rPr>
              <w:t>%</w:t>
            </w:r>
          </w:p>
        </w:tc>
      </w:tr>
      <w:tr w14:paraId="338A4854">
        <w:tblPrEx>
          <w:tblCellMar>
            <w:top w:w="0" w:type="dxa"/>
            <w:left w:w="108" w:type="dxa"/>
            <w:bottom w:w="0" w:type="dxa"/>
            <w:right w:w="108" w:type="dxa"/>
          </w:tblCellMar>
        </w:tblPrEx>
        <w:trPr>
          <w:trHeight w:val="363" w:hRule="atLeast"/>
        </w:trPr>
        <w:tc>
          <w:tcPr>
            <w:tcW w:w="2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53987">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bidi="ar"/>
              </w:rPr>
              <w:t>一般</w:t>
            </w:r>
          </w:p>
        </w:tc>
        <w:tc>
          <w:tcPr>
            <w:tcW w:w="2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3D67E">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bidi="ar"/>
              </w:rPr>
              <w:t xml:space="preserve">0 </w:t>
            </w:r>
          </w:p>
        </w:tc>
        <w:tc>
          <w:tcPr>
            <w:tcW w:w="2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DDDAE">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bidi="ar"/>
              </w:rPr>
              <w:t>0.0%</w:t>
            </w:r>
          </w:p>
        </w:tc>
      </w:tr>
      <w:tr w14:paraId="6275C8E1">
        <w:tblPrEx>
          <w:tblCellMar>
            <w:top w:w="0" w:type="dxa"/>
            <w:left w:w="108" w:type="dxa"/>
            <w:bottom w:w="0" w:type="dxa"/>
            <w:right w:w="108" w:type="dxa"/>
          </w:tblCellMar>
        </w:tblPrEx>
        <w:trPr>
          <w:trHeight w:val="363" w:hRule="atLeast"/>
        </w:trPr>
        <w:tc>
          <w:tcPr>
            <w:tcW w:w="2841" w:type="dxa"/>
            <w:tcBorders>
              <w:top w:val="single" w:color="000000" w:sz="4" w:space="0"/>
              <w:left w:val="single" w:color="000000" w:sz="4" w:space="0"/>
              <w:bottom w:val="single" w:color="000000" w:sz="4" w:space="0"/>
              <w:right w:val="single" w:color="000000" w:sz="4" w:space="0"/>
            </w:tcBorders>
            <w:shd w:val="clear" w:color="auto" w:fill="EEF6FA"/>
            <w:vAlign w:val="center"/>
          </w:tcPr>
          <w:p w14:paraId="3C46F237">
            <w:pPr>
              <w:widowControl/>
              <w:spacing w:line="240" w:lineRule="auto"/>
              <w:ind w:firstLine="0" w:firstLineChars="0"/>
              <w:jc w:val="left"/>
              <w:textAlignment w:val="center"/>
              <w:rPr>
                <w:rFonts w:hint="default" w:ascii="Times New Roman" w:hAnsi="Times New Roman" w:eastAsia="宋体" w:cs="Times New Roman"/>
                <w:color w:val="auto"/>
                <w:kern w:val="0"/>
                <w:lang w:eastAsia="zh-CN" w:bidi="ar"/>
              </w:rPr>
            </w:pPr>
            <w:r>
              <w:rPr>
                <w:rFonts w:hint="default" w:ascii="Times New Roman" w:hAnsi="Times New Roman" w:eastAsia="宋体" w:cs="Times New Roman"/>
                <w:color w:val="auto"/>
                <w:kern w:val="0"/>
                <w:lang w:bidi="ar"/>
              </w:rPr>
              <w:t>较</w:t>
            </w:r>
            <w:r>
              <w:rPr>
                <w:rFonts w:hint="default" w:ascii="Times New Roman" w:hAnsi="Times New Roman" w:eastAsia="宋体" w:cs="Times New Roman"/>
                <w:color w:val="auto"/>
                <w:kern w:val="0"/>
                <w:lang w:val="en-US" w:eastAsia="zh-CN" w:bidi="ar"/>
              </w:rPr>
              <w:t>差</w:t>
            </w:r>
          </w:p>
        </w:tc>
        <w:tc>
          <w:tcPr>
            <w:tcW w:w="2931" w:type="dxa"/>
            <w:tcBorders>
              <w:top w:val="single" w:color="000000" w:sz="4" w:space="0"/>
              <w:left w:val="single" w:color="000000" w:sz="4" w:space="0"/>
              <w:bottom w:val="single" w:color="000000" w:sz="4" w:space="0"/>
              <w:right w:val="single" w:color="000000" w:sz="4" w:space="0"/>
            </w:tcBorders>
            <w:shd w:val="clear" w:color="auto" w:fill="EEF6FA"/>
            <w:vAlign w:val="center"/>
          </w:tcPr>
          <w:p w14:paraId="0C8B090B">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bidi="ar"/>
              </w:rPr>
              <w:t xml:space="preserve">0 </w:t>
            </w:r>
          </w:p>
        </w:tc>
        <w:tc>
          <w:tcPr>
            <w:tcW w:w="2752" w:type="dxa"/>
            <w:tcBorders>
              <w:top w:val="single" w:color="000000" w:sz="4" w:space="0"/>
              <w:left w:val="single" w:color="000000" w:sz="4" w:space="0"/>
              <w:bottom w:val="single" w:color="000000" w:sz="4" w:space="0"/>
              <w:right w:val="single" w:color="000000" w:sz="4" w:space="0"/>
            </w:tcBorders>
            <w:shd w:val="clear" w:color="auto" w:fill="EEF6FA"/>
            <w:vAlign w:val="center"/>
          </w:tcPr>
          <w:p w14:paraId="7E2E92AD">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bidi="ar"/>
              </w:rPr>
              <w:t>0.0%</w:t>
            </w:r>
          </w:p>
        </w:tc>
      </w:tr>
      <w:tr w14:paraId="1D0E3344">
        <w:tblPrEx>
          <w:tblCellMar>
            <w:top w:w="0" w:type="dxa"/>
            <w:left w:w="108" w:type="dxa"/>
            <w:bottom w:w="0" w:type="dxa"/>
            <w:right w:w="108" w:type="dxa"/>
          </w:tblCellMar>
        </w:tblPrEx>
        <w:trPr>
          <w:trHeight w:val="363" w:hRule="atLeast"/>
        </w:trPr>
        <w:tc>
          <w:tcPr>
            <w:tcW w:w="2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B8FAA">
            <w:pPr>
              <w:widowControl/>
              <w:spacing w:line="240" w:lineRule="auto"/>
              <w:ind w:firstLine="0" w:firstLineChars="0"/>
              <w:jc w:val="left"/>
              <w:textAlignment w:val="center"/>
              <w:rPr>
                <w:rFonts w:hint="default" w:ascii="Times New Roman" w:hAnsi="Times New Roman" w:eastAsia="宋体" w:cs="Times New Roman"/>
                <w:color w:val="auto"/>
                <w:kern w:val="0"/>
                <w:lang w:val="en-US" w:eastAsia="zh-CN" w:bidi="ar"/>
              </w:rPr>
            </w:pPr>
            <w:r>
              <w:rPr>
                <w:rFonts w:hint="default" w:ascii="Times New Roman" w:hAnsi="Times New Roman" w:eastAsia="宋体" w:cs="Times New Roman"/>
                <w:color w:val="auto"/>
                <w:kern w:val="0"/>
                <w:lang w:val="en-US" w:eastAsia="zh-CN" w:bidi="ar"/>
              </w:rPr>
              <w:t>无</w:t>
            </w:r>
          </w:p>
        </w:tc>
        <w:tc>
          <w:tcPr>
            <w:tcW w:w="29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B659C">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bidi="ar"/>
              </w:rPr>
              <w:t xml:space="preserve">0 </w:t>
            </w:r>
          </w:p>
        </w:tc>
        <w:tc>
          <w:tcPr>
            <w:tcW w:w="2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F215A">
            <w:pPr>
              <w:widowControl/>
              <w:spacing w:line="240" w:lineRule="auto"/>
              <w:ind w:firstLine="0" w:firstLineChars="0"/>
              <w:jc w:val="left"/>
              <w:textAlignment w:val="center"/>
              <w:rPr>
                <w:rFonts w:ascii="Times New Roman" w:hAnsi="Times New Roman" w:eastAsia="宋体" w:cs="Times New Roman"/>
                <w:color w:val="auto"/>
                <w:kern w:val="0"/>
                <w:lang w:bidi="ar"/>
              </w:rPr>
            </w:pPr>
            <w:r>
              <w:rPr>
                <w:rFonts w:hint="default" w:ascii="Times New Roman" w:hAnsi="Times New Roman" w:eastAsia="宋体" w:cs="Times New Roman"/>
                <w:color w:val="auto"/>
                <w:kern w:val="0"/>
                <w:lang w:bidi="ar"/>
              </w:rPr>
              <w:t>0.0%</w:t>
            </w:r>
          </w:p>
        </w:tc>
      </w:tr>
    </w:tbl>
    <w:p w14:paraId="3AE88928">
      <w:pPr>
        <w:spacing w:line="360" w:lineRule="auto"/>
        <w:ind w:left="0" w:leftChars="0" w:firstLine="0" w:firstLineChars="0"/>
        <w:jc w:val="left"/>
        <w:rPr>
          <w:rFonts w:ascii="Times New Roman" w:hAnsi="Times New Roman" w:cs="Times New Roman"/>
          <w:color w:val="auto"/>
        </w:rPr>
      </w:pPr>
      <w:r>
        <w:rPr>
          <w:rFonts w:hint="default" w:ascii="Times New Roman" w:hAnsi="Times New Roman" w:cs="Times New Roman"/>
          <w:color w:val="auto"/>
        </w:rPr>
        <w:t>（</w:t>
      </w:r>
      <w:r>
        <w:rPr>
          <w:rFonts w:hint="default" w:ascii="Times New Roman" w:hAnsi="Times New Roman" w:cs="Times New Roman"/>
          <w:color w:val="auto"/>
          <w:lang w:val="en-US" w:eastAsia="zh-CN"/>
        </w:rPr>
        <w:t>8</w:t>
      </w:r>
      <w:r>
        <w:rPr>
          <w:rFonts w:hint="default" w:ascii="Times New Roman" w:hAnsi="Times New Roman" w:cs="Times New Roman"/>
          <w:color w:val="auto"/>
        </w:rPr>
        <w:t>）对于“福彩圆梦·孤儿助学”项目，您还有其他任何建议、意见或想法吗？欢迎您在此处详细说明：</w:t>
      </w:r>
    </w:p>
    <w:p w14:paraId="77DDD63C">
      <w:pPr>
        <w:spacing w:line="240" w:lineRule="auto"/>
        <w:ind w:left="0" w:leftChars="0" w:firstLine="0" w:firstLineChars="0"/>
        <w:jc w:val="left"/>
        <w:rPr>
          <w:rFonts w:ascii="Times New Roman" w:hAnsi="Times New Roman" w:cs="Times New Roman"/>
          <w:color w:val="auto"/>
        </w:rPr>
      </w:pPr>
      <w:r>
        <w:rPr>
          <w:rFonts w:hint="default" w:ascii="Times New Roman" w:hAnsi="Times New Roman" w:cs="Times New Roman"/>
          <w:color w:val="auto"/>
        </w:rPr>
        <w:t>无</w:t>
      </w:r>
      <w:r>
        <w:rPr>
          <w:rFonts w:hint="default" w:ascii="Times New Roman" w:hAnsi="Times New Roman" w:cs="Times New Roman"/>
          <w:color w:val="auto"/>
          <w:lang w:eastAsia="zh-CN"/>
        </w:rPr>
        <w:t>。</w:t>
      </w:r>
      <w:r>
        <w:rPr>
          <w:rFonts w:ascii="Times New Roman" w:hAnsi="Times New Roman" w:cs="Times New Roman"/>
          <w:color w:val="auto"/>
        </w:rPr>
        <w:br w:type="page"/>
      </w:r>
    </w:p>
    <w:p w14:paraId="11347F20">
      <w:pPr>
        <w:pStyle w:val="4"/>
        <w:pageBreakBefore w:val="0"/>
        <w:kinsoku/>
        <w:wordWrap/>
        <w:overflowPunct/>
        <w:topLinePunct w:val="0"/>
        <w:autoSpaceDE/>
        <w:autoSpaceDN/>
        <w:bidi w:val="0"/>
        <w:snapToGrid w:val="0"/>
        <w:spacing w:line="360" w:lineRule="auto"/>
        <w:ind w:firstLine="0" w:firstLineChars="0"/>
        <w:rPr>
          <w:rFonts w:ascii="Times New Roman" w:hAnsi="Times New Roman" w:cs="Times New Roman"/>
          <w:color w:val="auto"/>
        </w:rPr>
      </w:pPr>
      <w:bookmarkStart w:id="111" w:name="_Toc12827"/>
      <w:bookmarkStart w:id="112" w:name="_Toc15658"/>
      <w:r>
        <w:rPr>
          <w:rFonts w:ascii="Times New Roman" w:hAnsi="Times New Roman" w:cs="Times New Roman"/>
          <w:color w:val="auto"/>
        </w:rPr>
        <w:t>附件</w:t>
      </w:r>
      <w:r>
        <w:rPr>
          <w:rFonts w:hint="default" w:ascii="Times New Roman" w:hAnsi="Times New Roman" w:cs="Times New Roman"/>
          <w:color w:val="auto"/>
          <w:lang w:val="en-US" w:eastAsia="zh-CN"/>
        </w:rPr>
        <w:t>4</w:t>
      </w:r>
      <w:r>
        <w:rPr>
          <w:rFonts w:ascii="Times New Roman" w:hAnsi="Times New Roman" w:cs="Times New Roman"/>
          <w:color w:val="auto"/>
        </w:rPr>
        <w:t>：</w:t>
      </w:r>
      <w:bookmarkEnd w:id="111"/>
      <w:r>
        <w:rPr>
          <w:rFonts w:ascii="Times New Roman" w:hAnsi="Times New Roman" w:cs="Times New Roman"/>
          <w:color w:val="auto"/>
        </w:rPr>
        <w:t>绩效评价</w:t>
      </w:r>
      <w:r>
        <w:rPr>
          <w:rFonts w:hint="default" w:ascii="Times New Roman" w:hAnsi="Times New Roman" w:cs="Times New Roman"/>
          <w:color w:val="auto"/>
        </w:rPr>
        <w:t>工作沟通</w:t>
      </w:r>
      <w:r>
        <w:rPr>
          <w:rFonts w:ascii="Times New Roman" w:hAnsi="Times New Roman" w:cs="Times New Roman"/>
          <w:color w:val="auto"/>
        </w:rPr>
        <w:t>反馈</w:t>
      </w:r>
      <w:r>
        <w:rPr>
          <w:rFonts w:hint="default" w:ascii="Times New Roman" w:hAnsi="Times New Roman" w:cs="Times New Roman"/>
          <w:color w:val="auto"/>
        </w:rPr>
        <w:t>结果</w:t>
      </w:r>
      <w:bookmarkEnd w:id="112"/>
    </w:p>
    <w:p w14:paraId="46B09A48">
      <w:pPr>
        <w:pageBreakBefore w:val="0"/>
        <w:kinsoku/>
        <w:wordWrap/>
        <w:overflowPunct/>
        <w:topLinePunct w:val="0"/>
        <w:autoSpaceDE/>
        <w:autoSpaceDN/>
        <w:bidi w:val="0"/>
        <w:snapToGrid w:val="0"/>
        <w:spacing w:line="360" w:lineRule="auto"/>
        <w:ind w:firstLine="0" w:firstLineChars="0"/>
        <w:rPr>
          <w:rFonts w:hint="eastAsia" w:ascii="Times New Roman" w:hAnsi="Times New Roman" w:eastAsia="黑体" w:cs="Times New Roman"/>
          <w:color w:val="auto"/>
          <w:lang w:eastAsia="zh-CN"/>
        </w:rPr>
      </w:pPr>
      <w:r>
        <w:rPr>
          <w:rFonts w:hint="eastAsia" w:ascii="Times New Roman" w:hAnsi="Times New Roman" w:eastAsia="黑体" w:cs="Times New Roman"/>
          <w:color w:val="auto"/>
          <w:lang w:eastAsia="zh-CN"/>
        </w:rPr>
        <w:drawing>
          <wp:inline distT="0" distB="0" distL="114300" distR="114300">
            <wp:extent cx="5403215" cy="7105650"/>
            <wp:effectExtent l="0" t="0" r="0" b="0"/>
            <wp:docPr id="12" name="图片 12" descr="福彩圆梦孤儿助学项目--财政局意见反馈表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福彩圆梦孤儿助学项目--财政局意见反馈表_01"/>
                    <pic:cNvPicPr>
                      <a:picLocks noChangeAspect="1"/>
                    </pic:cNvPicPr>
                  </pic:nvPicPr>
                  <pic:blipFill>
                    <a:blip r:embed="rId22"/>
                    <a:srcRect r="-2469" b="4750"/>
                    <a:stretch>
                      <a:fillRect/>
                    </a:stretch>
                  </pic:blipFill>
                  <pic:spPr>
                    <a:xfrm>
                      <a:off x="0" y="0"/>
                      <a:ext cx="5403215" cy="7105650"/>
                    </a:xfrm>
                    <a:prstGeom prst="rect">
                      <a:avLst/>
                    </a:prstGeom>
                  </pic:spPr>
                </pic:pic>
              </a:graphicData>
            </a:graphic>
          </wp:inline>
        </w:drawing>
      </w:r>
    </w:p>
    <w:p w14:paraId="3D24B8CF">
      <w:pPr>
        <w:pageBreakBefore w:val="0"/>
        <w:kinsoku/>
        <w:wordWrap/>
        <w:overflowPunct/>
        <w:topLinePunct w:val="0"/>
        <w:autoSpaceDE/>
        <w:autoSpaceDN/>
        <w:bidi w:val="0"/>
        <w:snapToGrid w:val="0"/>
        <w:spacing w:line="360" w:lineRule="auto"/>
        <w:ind w:firstLine="0" w:firstLineChars="0"/>
        <w:rPr>
          <w:rFonts w:hint="eastAsia" w:ascii="Times New Roman" w:hAnsi="Times New Roman" w:eastAsia="黑体" w:cs="Times New Roman"/>
          <w:color w:val="auto"/>
          <w:lang w:eastAsia="zh-CN"/>
        </w:rPr>
      </w:pPr>
      <w:r>
        <w:rPr>
          <w:rFonts w:hint="eastAsia" w:ascii="Times New Roman" w:hAnsi="Times New Roman" w:eastAsia="黑体" w:cs="Times New Roman"/>
          <w:color w:val="auto"/>
          <w:lang w:eastAsia="zh-CN"/>
        </w:rPr>
        <w:drawing>
          <wp:inline distT="0" distB="0" distL="114300" distR="114300">
            <wp:extent cx="5361305" cy="7037070"/>
            <wp:effectExtent l="0" t="0" r="0" b="0"/>
            <wp:docPr id="13" name="图片 13" descr="福彩圆梦孤儿助学项目--民政局意见反馈表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福彩圆梦孤儿助学项目--民政局意见反馈表_01"/>
                    <pic:cNvPicPr>
                      <a:picLocks noChangeAspect="1"/>
                    </pic:cNvPicPr>
                  </pic:nvPicPr>
                  <pic:blipFill>
                    <a:blip r:embed="rId23"/>
                    <a:srcRect r="-1674" b="5669"/>
                    <a:stretch>
                      <a:fillRect/>
                    </a:stretch>
                  </pic:blipFill>
                  <pic:spPr>
                    <a:xfrm>
                      <a:off x="0" y="0"/>
                      <a:ext cx="5361305" cy="7037070"/>
                    </a:xfrm>
                    <a:prstGeom prst="rect">
                      <a:avLst/>
                    </a:prstGeom>
                  </pic:spPr>
                </pic:pic>
              </a:graphicData>
            </a:graphic>
          </wp:inline>
        </w:drawing>
      </w:r>
    </w:p>
    <w:sectPr>
      <w:pgSz w:w="11906" w:h="16838"/>
      <w:pgMar w:top="1440" w:right="1800" w:bottom="1440" w:left="1800" w:header="1020" w:footer="907" w:gutter="0"/>
      <w:pgBorders>
        <w:top w:val="none" w:sz="0" w:space="0"/>
        <w:left w:val="none" w:sz="0" w:space="0"/>
        <w:bottom w:val="none" w:sz="0" w:space="0"/>
        <w:right w:val="none" w:sz="0" w:space="0"/>
      </w:pgBorders>
      <w:pgNumType w:fmt="decimal"/>
      <w:cols w:space="425"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04B83D">
    <w:pPr>
      <w:pStyle w:val="12"/>
      <w:tabs>
        <w:tab w:val="center" w:pos="4439"/>
        <w:tab w:val="right" w:pos="8999"/>
      </w:tabs>
      <w:ind w:firstLine="360"/>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467B88">
                          <w:pPr>
                            <w:pStyle w:val="1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A467B88">
                    <w:pPr>
                      <w:pStyle w:val="12"/>
                    </w:pPr>
                  </w:p>
                </w:txbxContent>
              </v:textbox>
            </v:shape>
          </w:pict>
        </mc:Fallback>
      </mc:AlternateContent>
    </w:r>
    <w:r>
      <w:rPr>
        <w:rFonts w:hint="eastAsia"/>
      </w:rPr>
      <w:tab/>
    </w:r>
    <w:r>
      <w:rPr>
        <w:rFonts w:hint="eastAsia"/>
      </w:rPr>
      <w:tab/>
    </w:r>
    <w:r>
      <w:rPr>
        <w:rFonts w:hint="eastAsia"/>
      </w:rPr>
      <w:tab/>
    </w:r>
    <w:r>
      <w:rPr>
        <w:rFonts w:hint="eastAsia"/>
      </w:rPr>
      <w:tab/>
    </w:r>
  </w:p>
  <w:p w14:paraId="34CBD76A">
    <w:pPr>
      <w:pStyle w:val="12"/>
      <w:ind w:right="72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4683E4">
    <w:pPr>
      <w:pStyle w:val="12"/>
      <w:ind w:firstLine="360" w:firstLineChars="0"/>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61199"/>
                            <w:docPartObj>
                              <w:docPartGallery w:val="autotext"/>
                            </w:docPartObj>
                          </w:sdtPr>
                          <w:sdtContent>
                            <w:p w14:paraId="09E732F1">
                              <w:pPr>
                                <w:pStyle w:val="12"/>
                                <w:ind w:firstLine="360"/>
                                <w:jc w:val="center"/>
                              </w:pPr>
                              <w:r>
                                <w:fldChar w:fldCharType="begin"/>
                              </w:r>
                              <w:r>
                                <w:instrText xml:space="preserve">PAGE   \* MERGEFORMAT</w:instrText>
                              </w:r>
                              <w:r>
                                <w:fldChar w:fldCharType="separate"/>
                              </w:r>
                              <w:r>
                                <w:rPr>
                                  <w:lang w:val="zh-CN"/>
                                </w:rPr>
                                <w:t>11</w:t>
                              </w:r>
                              <w:r>
                                <w:fldChar w:fldCharType="end"/>
                              </w:r>
                            </w:p>
                          </w:sdtContent>
                        </w:sdt>
                        <w:p w14:paraId="05C78A0B"/>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sdt>
                    <w:sdtPr>
                      <w:id w:val="147461199"/>
                      <w:docPartObj>
                        <w:docPartGallery w:val="autotext"/>
                      </w:docPartObj>
                    </w:sdtPr>
                    <w:sdtContent>
                      <w:p w14:paraId="09E732F1">
                        <w:pPr>
                          <w:pStyle w:val="12"/>
                          <w:ind w:firstLine="360"/>
                          <w:jc w:val="center"/>
                        </w:pPr>
                        <w:r>
                          <w:fldChar w:fldCharType="begin"/>
                        </w:r>
                        <w:r>
                          <w:instrText xml:space="preserve">PAGE   \* MERGEFORMAT</w:instrText>
                        </w:r>
                        <w:r>
                          <w:fldChar w:fldCharType="separate"/>
                        </w:r>
                        <w:r>
                          <w:rPr>
                            <w:lang w:val="zh-CN"/>
                          </w:rPr>
                          <w:t>11</w:t>
                        </w:r>
                        <w:r>
                          <w:fldChar w:fldCharType="end"/>
                        </w:r>
                      </w:p>
                    </w:sdtContent>
                  </w:sdt>
                  <w:p w14:paraId="05C78A0B"/>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B56476">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47FEA9">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0966EE">
    <w:pPr>
      <w:pStyle w:val="12"/>
      <w:tabs>
        <w:tab w:val="center" w:pos="4439"/>
        <w:tab w:val="right" w:pos="8999"/>
      </w:tabs>
      <w:ind w:firstLine="360"/>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A95E74">
                          <w:pPr>
                            <w:pStyle w:val="1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5EA95E74">
                    <w:pPr>
                      <w:pStyle w:val="12"/>
                    </w:pPr>
                  </w:p>
                </w:txbxContent>
              </v:textbox>
            </v:shape>
          </w:pict>
        </mc:Fallback>
      </mc:AlternateContent>
    </w:r>
    <w:r>
      <w:rPr>
        <w:rFonts w:hint="eastAsia"/>
      </w:rPr>
      <w:tab/>
    </w:r>
    <w:r>
      <w:rPr>
        <w:rFonts w:hint="eastAsia"/>
      </w:rPr>
      <w:tab/>
    </w:r>
    <w:r>
      <w:rPr>
        <w:rFonts w:hint="eastAsia"/>
      </w:rPr>
      <w:tab/>
    </w:r>
    <w:r>
      <w:rPr>
        <w:rFonts w:hint="eastAsia"/>
      </w:rPr>
      <w:tab/>
    </w:r>
  </w:p>
  <w:p w14:paraId="0CB3E55F">
    <w:pPr>
      <w:pStyle w:val="12"/>
      <w:ind w:right="72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8D1DB8">
    <w:pPr>
      <w:pStyle w:val="12"/>
      <w:ind w:firstLine="0" w:firstLineChars="0"/>
      <w:jc w:val="both"/>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0428CA5">
                          <w:pPr>
                            <w:pStyle w:val="12"/>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50428CA5">
                    <w:pPr>
                      <w:pStyle w:val="12"/>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3FDF22">
    <w:pPr>
      <w:pStyle w:val="12"/>
      <w:ind w:firstLine="0" w:firstLineChars="0"/>
      <w:jc w:val="cente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6B05D1">
                          <w:pPr>
                            <w:pStyle w:val="1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6E6B05D1">
                    <w:pPr>
                      <w:pStyle w:val="12"/>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9FEFD1">
    <w:pPr>
      <w:pStyle w:val="12"/>
      <w:spacing w:line="240" w:lineRule="auto"/>
      <w:ind w:firstLine="0" w:firstLineChars="0"/>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84F4E8">
                          <w:pPr>
                            <w:pStyle w:val="12"/>
                            <w:tabs>
                              <w:tab w:val="left" w:pos="210"/>
                            </w:tabs>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1B84F4E8">
                    <w:pPr>
                      <w:pStyle w:val="12"/>
                      <w:tabs>
                        <w:tab w:val="left" w:pos="210"/>
                      </w:tabs>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FF239">
    <w:pPr>
      <w:pStyle w:val="12"/>
      <w:ind w:firstLine="360" w:firstLineChars="0"/>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7FD1CB">
                          <w:pPr>
                            <w:pStyle w:val="12"/>
                            <w:spacing w:line="240" w:lineRule="auto"/>
                            <w:ind w:firstLine="0" w:firstLineChars="0"/>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4B7FD1CB">
                    <w:pPr>
                      <w:pStyle w:val="12"/>
                      <w:spacing w:line="240" w:lineRule="auto"/>
                      <w:ind w:firstLine="0" w:firstLineChars="0"/>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051560" cy="3429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051560" cy="3429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56477"/>
                            <w:showingPlcHdr/>
                            <w:docPartObj>
                              <w:docPartGallery w:val="autotext"/>
                            </w:docPartObj>
                          </w:sdtPr>
                          <w:sdtContent>
                            <w:p w14:paraId="1F6A5F6A">
                              <w:pPr>
                                <w:pStyle w:val="12"/>
                                <w:ind w:firstLine="360"/>
                                <w:jc w:val="center"/>
                              </w:pPr>
                              <w:r>
                                <w:rPr>
                                  <w:rFonts w:hint="eastAsia"/>
                                  <w:lang w:eastAsia="zh-CN"/>
                                </w:rPr>
                                <w:t xml:space="preserve">     </w:t>
                              </w:r>
                            </w:p>
                          </w:sdtContent>
                        </w:sdt>
                        <w:p w14:paraId="2D78D979"/>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0pt;height:27pt;width:82.8pt;mso-position-horizontal:center;mso-position-horizontal-relative:margin;z-index:251659264;mso-width-relative:page;mso-height-relative:page;" filled="f" stroked="f" coordsize="21600,21600" o:gfxdata="UEsDBAoAAAAAAIdO4kAAAAAAAAAAAAAAAAAEAAAAZHJzL1BLAwQUAAAACACHTuJA9io7s9QAAAAE&#10;AQAADwAAAGRycy9kb3ducmV2LnhtbE2PS0/DMBCE70j8B2uRuFE7iEYoxOmBx41XC5XKzYmXJMJe&#10;R/EmLf8elwtcVhrNaObbcnXwTsw4xj6QhmyhQCA1wfbUanh/e7i4BhHZkDUuEGr4xgir6vSkNIUN&#10;e1rjvOFWpBKKhdHQMQ+FlLHp0Ju4CANS8j7D6A0nObbSjmafyr2Tl0rl0pue0kJnBrztsPnaTF6D&#10;28XxsVb8Md+1T/z6Iqftffas9flZpm5AMB74LwxH/IQOVWKqw0Q2CqchPcK/9+jlyxxErWF5pUBW&#10;pfwPX/0AUEsDBBQAAAAIAIdO4kDNakmuNwIAAGIEAAAOAAAAZHJzL2Uyb0RvYy54bWytVE2O0zAU&#10;3iNxB8t7mrRDK6iajspURUgjZqSCWLuO01iy/YztNikHgBuwYsOec/UcPDtJBw0sZsHG/eL3+31+&#10;r4vrVityFM5LMAUdj3JKhOFQSrMv6McPmxevKPGBmZIpMKKgJ+Hp9fL5s0Vj52ICNahSOIJJjJ83&#10;tqB1CHaeZZ7XQjM/AisMGitwmgX8dPusdKzB7FplkzyfZQ240jrgwnu8XXdG2md0T0kIVSW5WAM/&#10;aGFCl9UJxQJS8rW0ni5Tt1UleLirKi8CUQVFpiGdWATxLp7ZcsHme8dsLXnfAntKC484aSYNFr2k&#10;WrPAyMHJv1JpyR14qMKIg846IkkRZDHOH2mzrZkViQtK7e1FdP//0vL3x3tHZFnQCSWGaXzw8/dv&#10;5x+/zj+/kkmUp7F+jl5bi36hfQMtDs1w7/Eysm4rp+Mv8iFoR3FPF3FFGwiPQfl0PJ2hiaPt6uXk&#10;dZ7Uzx6irfPhrQBNIiiow8dLmrLjrQ/YCboOLrGYgY1UKj2gMqQp6OxqmqeAiwUjlMHAyKHrNaLQ&#10;7tqe2A7KE/Jy0A2Gt3wjsfgt8+GeOZwE7Bd3JdzhUSnAItAjSmpwX/51H/3xgdBKSYOTVVD/+cCc&#10;oES9M/h0mDIMwA1gNwBz0DeAwzrGLbQ8QQxwQQ2wcqA/4QqtYhU0McOxVkHDAG9CN9+4glysVsnp&#10;YJ3c110ADp5l4dZsLY9lOilXhwCVTCpHiTpdeuVw9JL4/ZrE2f7zO3k9/DUsfw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2Kjuz1AAAAAQBAAAPAAAAAAAAAAEAIAAAACIAAABkcnMvZG93bnJldi54&#10;bWxQSwECFAAUAAAACACHTuJAzWpJrjcCAABiBAAADgAAAAAAAAABACAAAAAjAQAAZHJzL2Uyb0Rv&#10;Yy54bWxQSwUGAAAAAAYABgBZAQAAzAUAAAAA&#10;">
              <v:fill on="f" focussize="0,0"/>
              <v:stroke on="f" weight="0.5pt"/>
              <v:imagedata o:title=""/>
              <o:lock v:ext="edit" aspectratio="f"/>
              <v:textbox inset="0mm,0mm,0mm,0mm">
                <w:txbxContent>
                  <w:sdt>
                    <w:sdtPr>
                      <w:id w:val="147456477"/>
                      <w:showingPlcHdr/>
                      <w:docPartObj>
                        <w:docPartGallery w:val="autotext"/>
                      </w:docPartObj>
                    </w:sdtPr>
                    <w:sdtContent>
                      <w:p w14:paraId="1F6A5F6A">
                        <w:pPr>
                          <w:pStyle w:val="12"/>
                          <w:ind w:firstLine="360"/>
                          <w:jc w:val="center"/>
                        </w:pPr>
                        <w:r>
                          <w:rPr>
                            <w:rFonts w:hint="eastAsia"/>
                            <w:lang w:eastAsia="zh-CN"/>
                          </w:rPr>
                          <w:t xml:space="preserve">     </w:t>
                        </w:r>
                      </w:p>
                    </w:sdtContent>
                  </w:sdt>
                  <w:p w14:paraId="2D78D979"/>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42A6C4">
    <w:pPr>
      <w:pStyle w:val="12"/>
      <w:ind w:firstLine="360" w:firstLineChars="0"/>
      <w:jc w:val="both"/>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349250" cy="302260"/>
              <wp:effectExtent l="0" t="0" r="0" b="0"/>
              <wp:wrapNone/>
              <wp:docPr id="5" name="文本框 5"/>
              <wp:cNvGraphicFramePr/>
              <a:graphic xmlns:a="http://schemas.openxmlformats.org/drawingml/2006/main">
                <a:graphicData uri="http://schemas.microsoft.com/office/word/2010/wordprocessingShape">
                  <wps:wsp>
                    <wps:cNvSpPr txBox="1"/>
                    <wps:spPr>
                      <a:xfrm>
                        <a:off x="0" y="0"/>
                        <a:ext cx="349250" cy="30226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6E23DC">
                          <w:pPr>
                            <w:pStyle w:val="12"/>
                            <w:spacing w:line="240" w:lineRule="auto"/>
                            <w:ind w:firstLine="0" w:firstLineChars="0"/>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II</w:t>
                          </w:r>
                          <w:r>
                            <w:rPr>
                              <w:sz w:val="21"/>
                              <w:szCs w:val="21"/>
                            </w:rP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0pt;height:23.8pt;width:27.5pt;mso-position-horizontal:center;mso-position-horizontal-relative:margin;z-index:251662336;mso-width-relative:page;mso-height-relative:page;" filled="f" stroked="f" coordsize="21600,21600" o:gfxdata="UEsDBAoAAAAAAIdO4kAAAAAAAAAAAAAAAAAEAAAAZHJzL1BLAwQUAAAACACHTuJAPpSpBNMAAAAD&#10;AQAADwAAAGRycy9kb3ducmV2LnhtbE2PS0/DMBCE70j8B2uRuFE7iBYU4vTA48ajFJDg5sRLEmGv&#10;I3uTln+P4QKXkUazmvm2Wu+9EzPGNATSUCwUCKQ22IE6DS/PtycXIBIbssYFQg1fmGBdHx5UprRh&#10;R084b7kTuYRSaTT0zGMpZWp79CYtwoiUs48QveFsYydtNLtc7p08VWolvRkoL/RmxKse28/t5DW4&#10;txTvGsXv83V3z5tHOb3eFA9aHx8V6hIE457/juEHP6NDnZmaMJFNwmnIj/Cv5my5zK7RcHa+AllX&#10;8j97/Q1QSwMEFAAAAAgAh07iQNAeJms1AgAAYQQAAA4AAABkcnMvZTJvRG9jLnhtbK1UzW4TMRC+&#10;I/EOlu9004RWEGVThVZFSBWtVBBnx+vNWrI9xna6Wx4A3oBTL9x5rjwHn3ezLRQOPXBxZuf/+2Ym&#10;i5POGnajQtTkSn54MOFMOUmVdpuSf/xw/uIVZzEJVwlDTpX8VkV+snz+bNH6uZpSQ6ZSgSGJi/PW&#10;l7xJyc+LIspGWREPyCsHY03BioTPsCmqIFpkt6aYTibHRUuh8oGkihHas8HI9xnDUxJSXWupzkhu&#10;rXJpyBqUEQmQYqN95Mu+27pWMl3WdVSJmZIDaepfFIG8zm+xXIj5JgjfaLlvQTylhUeYrNAORe9T&#10;nYkk2Dbov1JZLQNFqtOBJFsMQHpGgOJw8oib60Z41WMB1dHfkx7/X1r5/uYqMF2V/IgzJywGvvv+&#10;bXf3c/fjKzvK9LQ+zuF17eGXujfUYWlGfYQyo+7qYPMv8DDYQe7tPbmqS0xCOXv5enoEi4RpNplO&#10;j3vyi4dgH2J6q8iyLJQ8YHY9peLmIiY0AtfRJddydK6N6ednHGtLfjxD+j8siDAOgRnC0GqWUrfu&#10;9rjWVN0CVqBhL6KX5xrFL0RMVyJgEdAvTiVd4qkNoQjtJc4aCl/+pc/+mA+snLVYrJLHz1sRFGfm&#10;ncPkkDKNQhiF9Si4rT0l7OohjtDLXkRASGYU60D2Ey5olavAJJxErZKnUTxNw3rjAqVarXqnrQ96&#10;0wwB2Dsv0oW79jKXGQhbbRPVumc5UzTwsmcOm9eTv7+SvNq/f/deD/8My1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A+lKkE0wAAAAMBAAAPAAAAAAAAAAEAIAAAACIAAABkcnMvZG93bnJldi54bWxQ&#10;SwECFAAUAAAACACHTuJA0B4mazUCAABhBAAADgAAAAAAAAABACAAAAAiAQAAZHJzL2Uyb0RvYy54&#10;bWxQSwUGAAAAAAYABgBZAQAAyQUAAAAA&#10;">
              <v:fill on="f" focussize="0,0"/>
              <v:stroke on="f" weight="0.5pt"/>
              <v:imagedata o:title=""/>
              <o:lock v:ext="edit" aspectratio="f"/>
              <v:textbox inset="0mm,0mm,0mm,0mm">
                <w:txbxContent>
                  <w:p w14:paraId="546E23DC">
                    <w:pPr>
                      <w:pStyle w:val="12"/>
                      <w:spacing w:line="240" w:lineRule="auto"/>
                      <w:ind w:firstLine="0" w:firstLineChars="0"/>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II</w:t>
                    </w:r>
                    <w:r>
                      <w:rPr>
                        <w:sz w:val="21"/>
                        <w:szCs w:val="21"/>
                      </w:rPr>
                      <w:fldChar w:fldCharType="end"/>
                    </w:r>
                  </w:p>
                </w:txbxContent>
              </v:textbox>
            </v:shape>
          </w:pict>
        </mc:Fallback>
      </mc:AlternateContent>
    </w:r>
    <w:sdt>
      <w:sdtPr>
        <w:id w:val="147481108"/>
        <w:showingPlcHdr/>
        <w:docPartObj>
          <w:docPartGallery w:val="autotext"/>
        </w:docPartObj>
      </w:sdtPr>
      <w:sdtContent>
        <w:r>
          <w:rPr>
            <w:rFonts w:hint="eastAsia"/>
            <w:lang w:eastAsia="zh-CN"/>
          </w:rPr>
          <w:t xml:space="preserve">     </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20"/>
      </w:pPr>
      <w:r>
        <w:separator/>
      </w:r>
    </w:p>
  </w:footnote>
  <w:footnote w:type="continuationSeparator" w:id="1">
    <w:p>
      <w:pPr>
        <w:spacing w:line="24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01C4BF">
    <w:pPr>
      <w:pStyle w:val="13"/>
      <w:pBdr>
        <w:bottom w:val="none" w:color="auto" w:sz="0" w:space="0"/>
      </w:pBdr>
      <w:adjustRightInd/>
      <w:spacing w:line="240" w:lineRule="auto"/>
      <w:ind w:firstLine="0" w:firstLineChars="0"/>
      <w:jc w:val="right"/>
      <w:rPr>
        <w:rFonts w:ascii="黑体" w:hAnsi="黑体" w:eastAsia="黑体" w:cs="黑体"/>
        <w:b/>
        <w:bCs/>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31A56F">
    <w:pPr>
      <w:pStyle w:val="1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4D4C2">
    <w:pPr>
      <w:pStyle w:val="13"/>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D355E5">
    <w:pPr>
      <w:pStyle w:val="13"/>
      <w:pBdr>
        <w:bottom w:val="single" w:color="auto" w:sz="4" w:space="0"/>
      </w:pBdr>
      <w:spacing w:line="240" w:lineRule="auto"/>
      <w:ind w:firstLine="0" w:firstLineChars="0"/>
      <w:jc w:val="right"/>
      <w:rPr>
        <w:rFonts w:ascii="黑体" w:hAnsi="黑体" w:eastAsia="黑体" w:cs="黑体"/>
        <w:b/>
        <w:bCs/>
        <w:color w:val="FF0000"/>
        <w:sz w:val="15"/>
        <w:szCs w:val="15"/>
      </w:rPr>
    </w:pPr>
    <w:r>
      <w:rPr>
        <w:rFonts w:hint="eastAsia" w:ascii="黑体" w:hAnsi="黑体" w:eastAsia="黑体" w:cs="黑体"/>
        <w:b/>
        <w:bCs/>
        <w:color w:val="auto"/>
        <w:sz w:val="15"/>
        <w:szCs w:val="15"/>
        <w:lang w:eastAsia="zh-CN"/>
      </w:rPr>
      <w:t>伊宁县</w:t>
    </w:r>
    <w:r>
      <w:rPr>
        <w:rFonts w:hint="eastAsia" w:ascii="黑体" w:hAnsi="黑体" w:eastAsia="黑体" w:cs="黑体"/>
        <w:b/>
        <w:bCs/>
        <w:color w:val="auto"/>
        <w:sz w:val="15"/>
        <w:szCs w:val="15"/>
      </w:rPr>
      <w:t>“</w:t>
    </w:r>
    <w:r>
      <w:rPr>
        <w:rFonts w:hint="eastAsia" w:ascii="黑体" w:hAnsi="黑体" w:eastAsia="黑体" w:cs="黑体"/>
        <w:b/>
        <w:bCs/>
        <w:color w:val="auto"/>
        <w:sz w:val="15"/>
        <w:szCs w:val="15"/>
        <w:lang w:eastAsia="zh-CN"/>
      </w:rPr>
      <w:t>福彩圆梦</w:t>
    </w:r>
    <w:r>
      <w:rPr>
        <w:rFonts w:hint="eastAsia" w:ascii="黑体" w:hAnsi="黑体" w:eastAsia="黑体" w:cs="黑体"/>
        <w:b/>
        <w:bCs/>
        <w:color w:val="auto"/>
        <w:sz w:val="15"/>
        <w:szCs w:val="15"/>
        <w:lang w:val="en-US" w:eastAsia="zh-CN"/>
      </w:rPr>
      <w:t xml:space="preserve"> </w:t>
    </w:r>
    <w:r>
      <w:rPr>
        <w:rFonts w:hint="eastAsia" w:ascii="黑体" w:hAnsi="黑体" w:eastAsia="黑体" w:cs="黑体"/>
        <w:b/>
        <w:bCs/>
        <w:color w:val="auto"/>
        <w:sz w:val="15"/>
        <w:szCs w:val="15"/>
        <w:lang w:eastAsia="zh-CN"/>
      </w:rPr>
      <w:t>孤儿助学工程</w:t>
    </w:r>
    <w:r>
      <w:rPr>
        <w:rFonts w:hint="eastAsia" w:ascii="黑体" w:hAnsi="黑体" w:eastAsia="黑体" w:cs="黑体"/>
        <w:b/>
        <w:bCs/>
        <w:color w:val="auto"/>
        <w:sz w:val="15"/>
        <w:szCs w:val="15"/>
      </w:rPr>
      <w:t>”项目绩效评价报告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7783E0"/>
    <w:multiLevelType w:val="singleLevel"/>
    <w:tmpl w:val="407783E0"/>
    <w:lvl w:ilvl="0" w:tentative="0">
      <w:start w:val="1"/>
      <w:numFmt w:val="decimal"/>
      <w:suff w:val="nothing"/>
      <w:lvlText w:val="（%1）"/>
      <w:lvlJc w:val="left"/>
    </w:lvl>
  </w:abstractNum>
  <w:abstractNum w:abstractNumId="1">
    <w:nsid w:val="536F7A89"/>
    <w:multiLevelType w:val="singleLevel"/>
    <w:tmpl w:val="536F7A89"/>
    <w:lvl w:ilvl="0" w:tentative="0">
      <w:start w:val="1"/>
      <w:numFmt w:val="decimal"/>
      <w:suff w:val="nothing"/>
      <w:lvlText w:val="%1."/>
      <w:lvlJc w:val="left"/>
      <w:pPr>
        <w:ind w:left="0" w:firstLine="40"/>
      </w:pPr>
      <w:rPr>
        <w:rFonts w:hint="default"/>
        <w:sz w:val="21"/>
        <w:szCs w:val="21"/>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yN2QyNzY1MGQyMDA0NmQyYjYxNzZhOTdlZDU0MTgifQ=="/>
  </w:docVars>
  <w:rsids>
    <w:rsidRoot w:val="00A03703"/>
    <w:rsid w:val="00144E57"/>
    <w:rsid w:val="0020458F"/>
    <w:rsid w:val="00207014"/>
    <w:rsid w:val="00252009"/>
    <w:rsid w:val="002550B3"/>
    <w:rsid w:val="0036398D"/>
    <w:rsid w:val="0041395F"/>
    <w:rsid w:val="00426245"/>
    <w:rsid w:val="006C6562"/>
    <w:rsid w:val="00774338"/>
    <w:rsid w:val="00813149"/>
    <w:rsid w:val="00837A57"/>
    <w:rsid w:val="00A03703"/>
    <w:rsid w:val="00A15A88"/>
    <w:rsid w:val="00C32FFE"/>
    <w:rsid w:val="00C83FDF"/>
    <w:rsid w:val="00CA14B6"/>
    <w:rsid w:val="00D265A7"/>
    <w:rsid w:val="00D50A30"/>
    <w:rsid w:val="00E12696"/>
    <w:rsid w:val="00EE50F7"/>
    <w:rsid w:val="01EC5C3E"/>
    <w:rsid w:val="020A5922"/>
    <w:rsid w:val="02993E5A"/>
    <w:rsid w:val="02B45E0D"/>
    <w:rsid w:val="02C5077F"/>
    <w:rsid w:val="03526DC6"/>
    <w:rsid w:val="04542819"/>
    <w:rsid w:val="05F6352F"/>
    <w:rsid w:val="05FF3DCF"/>
    <w:rsid w:val="065007B6"/>
    <w:rsid w:val="06BD7BBA"/>
    <w:rsid w:val="0950746A"/>
    <w:rsid w:val="09C01DFB"/>
    <w:rsid w:val="09E65C14"/>
    <w:rsid w:val="09F2596C"/>
    <w:rsid w:val="0BA551FA"/>
    <w:rsid w:val="0BAA5676"/>
    <w:rsid w:val="0C69230C"/>
    <w:rsid w:val="0D9C2C0E"/>
    <w:rsid w:val="0E4B13F3"/>
    <w:rsid w:val="0EC86014"/>
    <w:rsid w:val="0FA47B58"/>
    <w:rsid w:val="0FB73D2F"/>
    <w:rsid w:val="102157FD"/>
    <w:rsid w:val="10507CE0"/>
    <w:rsid w:val="10AD6EE0"/>
    <w:rsid w:val="10DE2061"/>
    <w:rsid w:val="10EC7A09"/>
    <w:rsid w:val="11C83272"/>
    <w:rsid w:val="12751C80"/>
    <w:rsid w:val="12E070F9"/>
    <w:rsid w:val="131F35CC"/>
    <w:rsid w:val="13324E19"/>
    <w:rsid w:val="13513B8A"/>
    <w:rsid w:val="144E2788"/>
    <w:rsid w:val="15A414B4"/>
    <w:rsid w:val="15C947BC"/>
    <w:rsid w:val="163836F0"/>
    <w:rsid w:val="16EA49EA"/>
    <w:rsid w:val="178025FC"/>
    <w:rsid w:val="17D93097"/>
    <w:rsid w:val="1821504C"/>
    <w:rsid w:val="18243F2C"/>
    <w:rsid w:val="18D2742B"/>
    <w:rsid w:val="19445F08"/>
    <w:rsid w:val="19DD25E4"/>
    <w:rsid w:val="1ABF1CEA"/>
    <w:rsid w:val="1C5650F0"/>
    <w:rsid w:val="1D4402F0"/>
    <w:rsid w:val="1E933BB9"/>
    <w:rsid w:val="20070B5C"/>
    <w:rsid w:val="20206C70"/>
    <w:rsid w:val="208800D4"/>
    <w:rsid w:val="20E91BAB"/>
    <w:rsid w:val="21ED538F"/>
    <w:rsid w:val="22873A35"/>
    <w:rsid w:val="230B6414"/>
    <w:rsid w:val="23B14FE2"/>
    <w:rsid w:val="241F1A4B"/>
    <w:rsid w:val="247A77CD"/>
    <w:rsid w:val="25317C88"/>
    <w:rsid w:val="25AF6319"/>
    <w:rsid w:val="25F7546A"/>
    <w:rsid w:val="26443433"/>
    <w:rsid w:val="268F2EB8"/>
    <w:rsid w:val="26A66640"/>
    <w:rsid w:val="26D66285"/>
    <w:rsid w:val="26FD42C6"/>
    <w:rsid w:val="286874B3"/>
    <w:rsid w:val="29435EF6"/>
    <w:rsid w:val="294C5091"/>
    <w:rsid w:val="29503323"/>
    <w:rsid w:val="2990245A"/>
    <w:rsid w:val="299E0A2F"/>
    <w:rsid w:val="2A6A66CC"/>
    <w:rsid w:val="2AAD1304"/>
    <w:rsid w:val="2B5E632A"/>
    <w:rsid w:val="2BE94E19"/>
    <w:rsid w:val="2C862667"/>
    <w:rsid w:val="2CD07DE1"/>
    <w:rsid w:val="2D865AD4"/>
    <w:rsid w:val="2DA833A9"/>
    <w:rsid w:val="2E666AC5"/>
    <w:rsid w:val="2FF40230"/>
    <w:rsid w:val="301A19EB"/>
    <w:rsid w:val="3055264C"/>
    <w:rsid w:val="30BB1AA0"/>
    <w:rsid w:val="31CF4DAD"/>
    <w:rsid w:val="32263A42"/>
    <w:rsid w:val="32987598"/>
    <w:rsid w:val="33484DD4"/>
    <w:rsid w:val="33F71822"/>
    <w:rsid w:val="343A05E5"/>
    <w:rsid w:val="349FD07A"/>
    <w:rsid w:val="35845BB2"/>
    <w:rsid w:val="35A53AD6"/>
    <w:rsid w:val="35D856FF"/>
    <w:rsid w:val="362C0724"/>
    <w:rsid w:val="365437D6"/>
    <w:rsid w:val="36E55A25"/>
    <w:rsid w:val="372A5C55"/>
    <w:rsid w:val="37823126"/>
    <w:rsid w:val="379D4D08"/>
    <w:rsid w:val="37D70F74"/>
    <w:rsid w:val="38074C09"/>
    <w:rsid w:val="38406E45"/>
    <w:rsid w:val="3894435E"/>
    <w:rsid w:val="392C4597"/>
    <w:rsid w:val="39617B6F"/>
    <w:rsid w:val="398D26CB"/>
    <w:rsid w:val="3A2A076A"/>
    <w:rsid w:val="3A7601BF"/>
    <w:rsid w:val="3AB60FD6"/>
    <w:rsid w:val="3AEF3BB8"/>
    <w:rsid w:val="3B5D5F59"/>
    <w:rsid w:val="3BFD221A"/>
    <w:rsid w:val="3C1F02DB"/>
    <w:rsid w:val="3C793F97"/>
    <w:rsid w:val="3D0A6809"/>
    <w:rsid w:val="3DAF0D3F"/>
    <w:rsid w:val="3DB50D85"/>
    <w:rsid w:val="3DC2196D"/>
    <w:rsid w:val="3DF5589F"/>
    <w:rsid w:val="3EAF5CCA"/>
    <w:rsid w:val="40EA42E4"/>
    <w:rsid w:val="40FE443A"/>
    <w:rsid w:val="41D8350E"/>
    <w:rsid w:val="44FF5255"/>
    <w:rsid w:val="46312EB5"/>
    <w:rsid w:val="46B05814"/>
    <w:rsid w:val="46D1728D"/>
    <w:rsid w:val="47435544"/>
    <w:rsid w:val="477379D7"/>
    <w:rsid w:val="47FD3CCE"/>
    <w:rsid w:val="48217291"/>
    <w:rsid w:val="48541414"/>
    <w:rsid w:val="49061A89"/>
    <w:rsid w:val="493059DD"/>
    <w:rsid w:val="49516307"/>
    <w:rsid w:val="495A5150"/>
    <w:rsid w:val="496F29A9"/>
    <w:rsid w:val="4C6E6818"/>
    <w:rsid w:val="4CA77B53"/>
    <w:rsid w:val="4D2646B1"/>
    <w:rsid w:val="4DB72557"/>
    <w:rsid w:val="4E543563"/>
    <w:rsid w:val="4E5F685B"/>
    <w:rsid w:val="4F6636AD"/>
    <w:rsid w:val="4F6665FD"/>
    <w:rsid w:val="4FA709C3"/>
    <w:rsid w:val="50546455"/>
    <w:rsid w:val="518C1C1F"/>
    <w:rsid w:val="524D5852"/>
    <w:rsid w:val="531E0F9C"/>
    <w:rsid w:val="55943151"/>
    <w:rsid w:val="55E32A33"/>
    <w:rsid w:val="56921B6A"/>
    <w:rsid w:val="57776DC2"/>
    <w:rsid w:val="57AA72A2"/>
    <w:rsid w:val="586E02D0"/>
    <w:rsid w:val="58DE2219"/>
    <w:rsid w:val="593F3897"/>
    <w:rsid w:val="5979517E"/>
    <w:rsid w:val="598D4786"/>
    <w:rsid w:val="59F82547"/>
    <w:rsid w:val="59FF6B39"/>
    <w:rsid w:val="5AE66844"/>
    <w:rsid w:val="5C5123E2"/>
    <w:rsid w:val="5C6B645D"/>
    <w:rsid w:val="5CA12EFC"/>
    <w:rsid w:val="5D192ED3"/>
    <w:rsid w:val="5D382BE7"/>
    <w:rsid w:val="5DA56542"/>
    <w:rsid w:val="5DEE6DAA"/>
    <w:rsid w:val="5E484837"/>
    <w:rsid w:val="5E606702"/>
    <w:rsid w:val="5F470E2F"/>
    <w:rsid w:val="5F7F2DC3"/>
    <w:rsid w:val="60C2740B"/>
    <w:rsid w:val="60F51CEA"/>
    <w:rsid w:val="619E14FA"/>
    <w:rsid w:val="62E23D94"/>
    <w:rsid w:val="6432228D"/>
    <w:rsid w:val="649B41FB"/>
    <w:rsid w:val="64FF2692"/>
    <w:rsid w:val="65172D3B"/>
    <w:rsid w:val="65AE1FF2"/>
    <w:rsid w:val="65BB267B"/>
    <w:rsid w:val="65E435B0"/>
    <w:rsid w:val="6631134F"/>
    <w:rsid w:val="67036AE4"/>
    <w:rsid w:val="68D511B8"/>
    <w:rsid w:val="69C80DEB"/>
    <w:rsid w:val="6A321574"/>
    <w:rsid w:val="6A93217B"/>
    <w:rsid w:val="6AAF4400"/>
    <w:rsid w:val="6B4355EC"/>
    <w:rsid w:val="6B7B4D86"/>
    <w:rsid w:val="6BD83F86"/>
    <w:rsid w:val="6CA65E33"/>
    <w:rsid w:val="6D5E5248"/>
    <w:rsid w:val="6D8E15BD"/>
    <w:rsid w:val="6E364F94"/>
    <w:rsid w:val="6E686008"/>
    <w:rsid w:val="6EA7498F"/>
    <w:rsid w:val="6F8506E4"/>
    <w:rsid w:val="701E2184"/>
    <w:rsid w:val="718B3849"/>
    <w:rsid w:val="71F238C8"/>
    <w:rsid w:val="726C71D4"/>
    <w:rsid w:val="74145D78"/>
    <w:rsid w:val="748C1DB2"/>
    <w:rsid w:val="753A40DB"/>
    <w:rsid w:val="759C7DD3"/>
    <w:rsid w:val="75A05936"/>
    <w:rsid w:val="75B443BF"/>
    <w:rsid w:val="768F5B89"/>
    <w:rsid w:val="76C84BF7"/>
    <w:rsid w:val="76E539FB"/>
    <w:rsid w:val="776C8B73"/>
    <w:rsid w:val="77C202CB"/>
    <w:rsid w:val="77F02658"/>
    <w:rsid w:val="77F92996"/>
    <w:rsid w:val="77FA7033"/>
    <w:rsid w:val="78B35B5F"/>
    <w:rsid w:val="78D173E0"/>
    <w:rsid w:val="78DE744E"/>
    <w:rsid w:val="79E821CE"/>
    <w:rsid w:val="7A0E2437"/>
    <w:rsid w:val="7A374B97"/>
    <w:rsid w:val="7B86755B"/>
    <w:rsid w:val="7BF267D8"/>
    <w:rsid w:val="7D314788"/>
    <w:rsid w:val="7D657264"/>
    <w:rsid w:val="7E5C4314"/>
    <w:rsid w:val="7EC9775F"/>
    <w:rsid w:val="7EDD54D9"/>
    <w:rsid w:val="7EF53BA3"/>
    <w:rsid w:val="7F802F94"/>
    <w:rsid w:val="7FD82D8C"/>
    <w:rsid w:val="7FE06CF9"/>
    <w:rsid w:val="9A5E12E9"/>
    <w:rsid w:val="BF9D96C6"/>
    <w:rsid w:val="DFFBA398"/>
    <w:rsid w:val="DFFBD6E3"/>
    <w:rsid w:val="F7A30022"/>
    <w:rsid w:val="F8FF19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90" w:lineRule="exact"/>
      <w:ind w:firstLine="883" w:firstLineChars="200"/>
      <w:jc w:val="both"/>
    </w:pPr>
    <w:rPr>
      <w:rFonts w:ascii="Times New Roman" w:hAnsi="Times New Roman" w:cs="Times New Roman" w:eastAsiaTheme="minorEastAsia"/>
      <w:kern w:val="2"/>
      <w:sz w:val="21"/>
      <w:szCs w:val="21"/>
      <w:lang w:val="en-US" w:eastAsia="zh-CN" w:bidi="ar-SA"/>
    </w:rPr>
  </w:style>
  <w:style w:type="paragraph" w:styleId="4">
    <w:name w:val="heading 1"/>
    <w:basedOn w:val="1"/>
    <w:next w:val="1"/>
    <w:link w:val="33"/>
    <w:qFormat/>
    <w:uiPriority w:val="99"/>
    <w:pPr>
      <w:keepNext/>
      <w:keepLines/>
      <w:spacing w:before="260" w:after="260"/>
      <w:outlineLvl w:val="0"/>
    </w:pPr>
    <w:rPr>
      <w:b/>
      <w:bCs/>
      <w:kern w:val="44"/>
      <w:sz w:val="24"/>
      <w:szCs w:val="44"/>
    </w:rPr>
  </w:style>
  <w:style w:type="paragraph" w:styleId="5">
    <w:name w:val="heading 2"/>
    <w:basedOn w:val="1"/>
    <w:next w:val="1"/>
    <w:qFormat/>
    <w:uiPriority w:val="0"/>
    <w:pPr>
      <w:keepNext/>
      <w:keepLines/>
      <w:spacing w:before="100" w:after="100"/>
      <w:jc w:val="left"/>
      <w:outlineLvl w:val="1"/>
    </w:pPr>
    <w:rPr>
      <w:rFonts w:ascii="Cambria" w:hAnsi="Cambria"/>
      <w:b/>
      <w:bCs/>
      <w:kern w:val="0"/>
      <w:sz w:val="24"/>
      <w:szCs w:val="32"/>
    </w:rPr>
  </w:style>
  <w:style w:type="paragraph" w:styleId="6">
    <w:name w:val="heading 3"/>
    <w:basedOn w:val="1"/>
    <w:next w:val="7"/>
    <w:qFormat/>
    <w:uiPriority w:val="99"/>
    <w:pPr>
      <w:keepNext/>
      <w:keepLines/>
      <w:outlineLvl w:val="2"/>
    </w:pPr>
    <w:rPr>
      <w:rFonts w:ascii="仿宋_GB2312" w:hAnsi="仿宋_GB2312"/>
      <w:b/>
      <w:bCs/>
      <w:kern w:val="0"/>
      <w:szCs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Body Text 2"/>
    <w:basedOn w:val="1"/>
    <w:qFormat/>
    <w:uiPriority w:val="0"/>
    <w:pPr>
      <w:spacing w:after="120" w:line="480" w:lineRule="auto"/>
    </w:pPr>
    <w:rPr>
      <w:rFonts w:eastAsia="宋体"/>
    </w:rPr>
  </w:style>
  <w:style w:type="paragraph" w:styleId="7">
    <w:name w:val="Normal Indent"/>
    <w:basedOn w:val="1"/>
    <w:next w:val="8"/>
    <w:qFormat/>
    <w:uiPriority w:val="0"/>
    <w:pPr>
      <w:ind w:firstLine="420"/>
    </w:pPr>
  </w:style>
  <w:style w:type="paragraph" w:styleId="8">
    <w:name w:val="toc 4"/>
    <w:basedOn w:val="1"/>
    <w:next w:val="1"/>
    <w:qFormat/>
    <w:uiPriority w:val="0"/>
    <w:pPr>
      <w:ind w:left="1260" w:leftChars="600"/>
    </w:pPr>
  </w:style>
  <w:style w:type="paragraph" w:styleId="9">
    <w:name w:val="annotation text"/>
    <w:basedOn w:val="1"/>
    <w:unhideWhenUsed/>
    <w:qFormat/>
    <w:uiPriority w:val="99"/>
    <w:rPr>
      <w:rFonts w:ascii="Calibri" w:hAnsi="Calibri" w:eastAsia="仿宋"/>
      <w:kern w:val="0"/>
      <w:sz w:val="24"/>
      <w:szCs w:val="20"/>
    </w:rPr>
  </w:style>
  <w:style w:type="paragraph" w:styleId="10">
    <w:name w:val="Body Text Indent"/>
    <w:basedOn w:val="1"/>
    <w:qFormat/>
    <w:uiPriority w:val="0"/>
    <w:pPr>
      <w:ind w:firstLine="570"/>
    </w:pPr>
    <w:rPr>
      <w:rFonts w:eastAsia="宋体"/>
      <w:sz w:val="24"/>
    </w:rPr>
  </w:style>
  <w:style w:type="paragraph" w:styleId="11">
    <w:name w:val="Balloon Text"/>
    <w:basedOn w:val="1"/>
    <w:link w:val="32"/>
    <w:semiHidden/>
    <w:unhideWhenUsed/>
    <w:qFormat/>
    <w:uiPriority w:val="99"/>
    <w:pPr>
      <w:spacing w:line="240" w:lineRule="auto"/>
    </w:pPr>
    <w:rPr>
      <w:sz w:val="18"/>
      <w:szCs w:val="18"/>
    </w:rPr>
  </w:style>
  <w:style w:type="paragraph" w:styleId="12">
    <w:name w:val="footer"/>
    <w:basedOn w:val="1"/>
    <w:link w:val="24"/>
    <w:unhideWhenUsed/>
    <w:qFormat/>
    <w:uiPriority w:val="99"/>
    <w:pPr>
      <w:tabs>
        <w:tab w:val="center" w:pos="4153"/>
        <w:tab w:val="right" w:pos="8306"/>
      </w:tabs>
      <w:jc w:val="left"/>
    </w:pPr>
    <w:rPr>
      <w:sz w:val="18"/>
      <w:szCs w:val="18"/>
    </w:rPr>
  </w:style>
  <w:style w:type="paragraph" w:styleId="13">
    <w:name w:val="header"/>
    <w:basedOn w:val="1"/>
    <w:link w:val="23"/>
    <w:unhideWhenUsed/>
    <w:qFormat/>
    <w:uiPriority w:val="99"/>
    <w:pPr>
      <w:pBdr>
        <w:bottom w:val="single" w:color="auto" w:sz="6" w:space="1"/>
      </w:pBdr>
      <w:tabs>
        <w:tab w:val="center" w:pos="4153"/>
        <w:tab w:val="right" w:pos="8306"/>
      </w:tabs>
      <w:jc w:val="center"/>
    </w:pPr>
    <w:rPr>
      <w:sz w:val="18"/>
      <w:szCs w:val="18"/>
    </w:rPr>
  </w:style>
  <w:style w:type="paragraph" w:styleId="14">
    <w:name w:val="toc 1"/>
    <w:basedOn w:val="1"/>
    <w:next w:val="1"/>
    <w:qFormat/>
    <w:uiPriority w:val="39"/>
    <w:pPr>
      <w:tabs>
        <w:tab w:val="right" w:leader="dot" w:pos="9356"/>
      </w:tabs>
      <w:ind w:firstLine="0" w:firstLineChars="0"/>
    </w:pPr>
    <w:rPr>
      <w:rFonts w:ascii="黑体" w:hAnsi="黑体" w:cs="仿宋_GB2312"/>
      <w:bCs/>
      <w:color w:val="000000"/>
      <w:kern w:val="0"/>
      <w:sz w:val="28"/>
      <w:szCs w:val="28"/>
    </w:rPr>
  </w:style>
  <w:style w:type="paragraph" w:styleId="15">
    <w:name w:val="toc 2"/>
    <w:basedOn w:val="1"/>
    <w:next w:val="1"/>
    <w:semiHidden/>
    <w:unhideWhenUsed/>
    <w:qFormat/>
    <w:uiPriority w:val="39"/>
    <w:pPr>
      <w:ind w:firstLine="663" w:firstLineChars="150"/>
    </w:pPr>
    <w:rPr>
      <w:sz w:val="24"/>
    </w:rPr>
  </w:style>
  <w:style w:type="paragraph" w:styleId="16">
    <w:name w:val="Normal (Web)"/>
    <w:basedOn w:val="1"/>
    <w:semiHidden/>
    <w:unhideWhenUsed/>
    <w:qFormat/>
    <w:uiPriority w:val="99"/>
    <w:pPr>
      <w:spacing w:beforeAutospacing="1" w:afterAutospacing="1"/>
      <w:jc w:val="left"/>
    </w:pPr>
    <w:rPr>
      <w:kern w:val="0"/>
      <w:sz w:val="24"/>
    </w:rPr>
  </w:style>
  <w:style w:type="paragraph" w:styleId="17">
    <w:name w:val="Body Text First Indent 2"/>
    <w:basedOn w:val="10"/>
    <w:qFormat/>
    <w:uiPriority w:val="0"/>
    <w:pPr>
      <w:ind w:firstLine="420"/>
    </w:pPr>
  </w:style>
  <w:style w:type="table" w:styleId="19">
    <w:name w:val="Table Grid"/>
    <w:basedOn w:val="1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page number"/>
    <w:basedOn w:val="20"/>
    <w:qFormat/>
    <w:uiPriority w:val="0"/>
  </w:style>
  <w:style w:type="character" w:styleId="22">
    <w:name w:val="annotation reference"/>
    <w:basedOn w:val="20"/>
    <w:semiHidden/>
    <w:unhideWhenUsed/>
    <w:qFormat/>
    <w:uiPriority w:val="99"/>
    <w:rPr>
      <w:sz w:val="21"/>
      <w:szCs w:val="21"/>
    </w:rPr>
  </w:style>
  <w:style w:type="character" w:customStyle="1" w:styleId="23">
    <w:name w:val="页眉 Char"/>
    <w:basedOn w:val="20"/>
    <w:link w:val="13"/>
    <w:qFormat/>
    <w:uiPriority w:val="99"/>
    <w:rPr>
      <w:sz w:val="18"/>
      <w:szCs w:val="18"/>
    </w:rPr>
  </w:style>
  <w:style w:type="character" w:customStyle="1" w:styleId="24">
    <w:name w:val="页脚 Char"/>
    <w:basedOn w:val="20"/>
    <w:link w:val="12"/>
    <w:qFormat/>
    <w:uiPriority w:val="99"/>
    <w:rPr>
      <w:sz w:val="18"/>
      <w:szCs w:val="18"/>
    </w:rPr>
  </w:style>
  <w:style w:type="paragraph" w:customStyle="1" w:styleId="25">
    <w:name w:val="闻政-正文二级标题"/>
    <w:basedOn w:val="5"/>
    <w:next w:val="26"/>
    <w:qFormat/>
    <w:uiPriority w:val="3"/>
    <w:pPr>
      <w:spacing w:before="120" w:after="60" w:line="500" w:lineRule="exact"/>
      <w:ind w:left="200" w:leftChars="200" w:firstLine="0" w:firstLineChars="0"/>
    </w:pPr>
    <w:rPr>
      <w:rFonts w:ascii="Times New Roman" w:hAnsi="Times New Roman"/>
      <w:sz w:val="28"/>
    </w:rPr>
  </w:style>
  <w:style w:type="paragraph" w:customStyle="1" w:styleId="26">
    <w:name w:val="闻政-正文段落文字"/>
    <w:basedOn w:val="1"/>
    <w:qFormat/>
    <w:uiPriority w:val="3"/>
    <w:pPr>
      <w:spacing w:line="500" w:lineRule="exact"/>
      <w:ind w:firstLine="200"/>
    </w:pPr>
    <w:rPr>
      <w:kern w:val="0"/>
      <w:szCs w:val="28"/>
    </w:rPr>
  </w:style>
  <w:style w:type="paragraph" w:customStyle="1" w:styleId="27">
    <w:name w:val="闻政-正文一级标题"/>
    <w:basedOn w:val="6"/>
    <w:next w:val="26"/>
    <w:qFormat/>
    <w:uiPriority w:val="3"/>
    <w:pPr>
      <w:spacing w:before="120" w:after="60" w:line="500" w:lineRule="exact"/>
      <w:ind w:firstLine="0" w:firstLineChars="0"/>
      <w:outlineLvl w:val="0"/>
    </w:pPr>
    <w:rPr>
      <w:rFonts w:ascii="黑体" w:hAnsi="黑体" w:eastAsia="黑体"/>
      <w:sz w:val="32"/>
    </w:rPr>
  </w:style>
  <w:style w:type="paragraph" w:styleId="28">
    <w:name w:val="List Paragraph"/>
    <w:basedOn w:val="1"/>
    <w:qFormat/>
    <w:uiPriority w:val="34"/>
    <w:pPr>
      <w:ind w:firstLine="420"/>
    </w:pPr>
  </w:style>
  <w:style w:type="paragraph" w:customStyle="1" w:styleId="29">
    <w:name w:val="正文 A"/>
    <w:qFormat/>
    <w:uiPriority w:val="99"/>
    <w:pPr>
      <w:widowControl w:val="0"/>
      <w:spacing w:before="50" w:after="50" w:line="360" w:lineRule="auto"/>
    </w:pPr>
    <w:rPr>
      <w:rFonts w:ascii="Times New Roman" w:hAnsi="Arial Unicode MS" w:eastAsia="Times New Roman" w:cs="Arial Unicode MS"/>
      <w:color w:val="000000"/>
      <w:kern w:val="2"/>
      <w:sz w:val="28"/>
      <w:szCs w:val="28"/>
      <w:u w:color="000000"/>
      <w:lang w:val="en-US" w:eastAsia="zh-CN" w:bidi="ar-SA"/>
    </w:rPr>
  </w:style>
  <w:style w:type="paragraph" w:customStyle="1" w:styleId="30">
    <w:name w:val="WPSOffice手动目录 1"/>
    <w:qFormat/>
    <w:uiPriority w:val="0"/>
    <w:rPr>
      <w:rFonts w:ascii="Times New Roman" w:hAnsi="Times New Roman" w:eastAsia="宋体" w:cs="Times New Roman"/>
      <w:lang w:val="en-US" w:eastAsia="zh-CN" w:bidi="ar-SA"/>
    </w:rPr>
  </w:style>
  <w:style w:type="paragraph" w:customStyle="1" w:styleId="31">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32">
    <w:name w:val="批注框文本 Char"/>
    <w:basedOn w:val="20"/>
    <w:link w:val="11"/>
    <w:semiHidden/>
    <w:qFormat/>
    <w:uiPriority w:val="99"/>
    <w:rPr>
      <w:rFonts w:eastAsiaTheme="minorEastAsia"/>
      <w:kern w:val="2"/>
      <w:sz w:val="18"/>
      <w:szCs w:val="18"/>
    </w:rPr>
  </w:style>
  <w:style w:type="character" w:customStyle="1" w:styleId="33">
    <w:name w:val="标题 1 Char"/>
    <w:link w:val="4"/>
    <w:qFormat/>
    <w:uiPriority w:val="99"/>
    <w:rPr>
      <w:b/>
      <w:bCs/>
      <w:kern w:val="44"/>
      <w:sz w:val="24"/>
      <w:szCs w:val="4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7" Type="http://schemas.openxmlformats.org/officeDocument/2006/relationships/fontTable" Target="fontTable.xml"/><Relationship Id="rId26" Type="http://schemas.openxmlformats.org/officeDocument/2006/relationships/customXml" Target="../customXml/item2.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3.jpeg"/><Relationship Id="rId22" Type="http://schemas.openxmlformats.org/officeDocument/2006/relationships/image" Target="media/image2.jpeg"/><Relationship Id="rId21" Type="http://schemas.openxmlformats.org/officeDocument/2006/relationships/image" Target="media/image1.emf"/><Relationship Id="rId20" Type="http://schemas.openxmlformats.org/officeDocument/2006/relationships/oleObject" Target="embeddings/oleObject1.bin"/><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10.xml"/><Relationship Id="rId17" Type="http://schemas.openxmlformats.org/officeDocument/2006/relationships/footer" Target="footer9.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header" Target="header4.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17A4AD-C8AC-4D6E-B5B8-B4766CB3F4A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39</Pages>
  <Words>5565</Words>
  <Characters>6025</Characters>
  <Lines>41</Lines>
  <Paragraphs>11</Paragraphs>
  <TotalTime>4</TotalTime>
  <ScaleCrop>false</ScaleCrop>
  <LinksUpToDate>false</LinksUpToDate>
  <CharactersWithSpaces>6166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2020-09-24T07:41:00Z</dcterms:created>
  <dc:creator>Lenovo</dc:creator>
  <cp:lastModifiedBy>孙婕</cp:lastModifiedBy>
  <dcterms:modified xsi:type="dcterms:W3CDTF">2025-09-07T13:56:59Z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1113FA7AD47245CCB7D69C8AD4E72443_13</vt:lpwstr>
  </property>
  <property fmtid="{D5CDD505-2E9C-101B-9397-08002B2CF9AE}" pid="4" name="KSOTemplateDocerSaveRecord">
    <vt:lpwstr>eyJoZGlkIjoiZjNiYTgwNzYyZDQ4ZTA3ZGVkYjdkY2Y3ODg5MTgwZGYiLCJ1c2VySWQiOiI0MzE2MTM5MTcifQ==</vt:lpwstr>
  </property>
</Properties>
</file>